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35D6" w:rsidRPr="006B0BEF" w:rsidRDefault="00E635D6" w:rsidP="00E635D6">
      <w:pPr>
        <w:jc w:val="both"/>
        <w:rPr>
          <w:rFonts w:ascii="Arial" w:hAnsi="Arial" w:cs="Arial"/>
          <w:b/>
          <w:bCs/>
        </w:rPr>
      </w:pPr>
      <w:r w:rsidRPr="006B0BEF">
        <w:rPr>
          <w:rFonts w:ascii="Arial" w:hAnsi="Arial" w:cs="Arial"/>
          <w:b/>
          <w:bCs/>
        </w:rPr>
        <w:t>ACUERDO DEL COMITÉ DE RADIO Y TELEVISIÓN DEL INSTITUTO NACIONAL ELECTORAL POR EL QUE SE MODIFICA EL ACUERDO IDENTIFICADO COMO INE/ACRT/40/2017, CON MOTIVO DEL REGISTRO DE UNA COALICIÓN TOTAL PARA EL PERIODO DE PRECAMPAÑA DEL PROCESO ELECTORAL LOCAL 2017-2018, COINCIDENTE CON EL PROCESO ELECTORAL FEDERAL 2017-2018, EN EL ESTADO DE AGUASCALIENTES</w:t>
      </w:r>
    </w:p>
    <w:p w:rsidR="00E635D6" w:rsidRPr="006B0BEF" w:rsidRDefault="00E635D6" w:rsidP="00E635D6">
      <w:pPr>
        <w:jc w:val="both"/>
        <w:rPr>
          <w:rFonts w:ascii="Arial" w:hAnsi="Arial" w:cs="Arial"/>
          <w:b/>
          <w:bCs/>
        </w:rPr>
      </w:pPr>
    </w:p>
    <w:p w:rsidR="00E635D6" w:rsidRPr="006B0BEF" w:rsidRDefault="00E635D6" w:rsidP="00E635D6">
      <w:pPr>
        <w:autoSpaceDE w:val="0"/>
        <w:autoSpaceDN w:val="0"/>
        <w:adjustRightInd w:val="0"/>
        <w:jc w:val="center"/>
        <w:rPr>
          <w:rFonts w:ascii="Arial,Bold" w:hAnsi="Arial,Bold" w:cs="Arial,Bold"/>
          <w:b/>
          <w:bCs/>
        </w:rPr>
      </w:pPr>
      <w:r w:rsidRPr="006B0BEF">
        <w:rPr>
          <w:rFonts w:ascii="Arial,Bold" w:hAnsi="Arial,Bold" w:cs="Arial,Bold"/>
          <w:b/>
          <w:bCs/>
        </w:rPr>
        <w:t>A n t e c e d e n t e s</w:t>
      </w:r>
    </w:p>
    <w:p w:rsidR="00E635D6" w:rsidRPr="006B0BEF" w:rsidRDefault="00E635D6" w:rsidP="00E635D6">
      <w:pPr>
        <w:autoSpaceDE w:val="0"/>
        <w:autoSpaceDN w:val="0"/>
        <w:adjustRightInd w:val="0"/>
        <w:jc w:val="center"/>
        <w:rPr>
          <w:rFonts w:ascii="Arial,Bold" w:hAnsi="Arial,Bold" w:cs="Arial,Bold"/>
          <w:b/>
          <w:bCs/>
        </w:rPr>
      </w:pPr>
    </w:p>
    <w:p w:rsidR="00E635D6" w:rsidRPr="006B0BEF" w:rsidRDefault="00E635D6" w:rsidP="00E635D6">
      <w:pPr>
        <w:pStyle w:val="Prrafodelista"/>
        <w:numPr>
          <w:ilvl w:val="0"/>
          <w:numId w:val="3"/>
        </w:numPr>
        <w:autoSpaceDE w:val="0"/>
        <w:autoSpaceDN w:val="0"/>
        <w:adjustRightInd w:val="0"/>
        <w:ind w:left="567" w:hanging="709"/>
        <w:contextualSpacing/>
        <w:rPr>
          <w:rFonts w:cs="Arial"/>
        </w:rPr>
      </w:pPr>
      <w:r w:rsidRPr="006B0BEF">
        <w:rPr>
          <w:rFonts w:cs="Arial"/>
          <w:b/>
        </w:rPr>
        <w:t xml:space="preserve">Inicio del Proceso Electoral Federal 2017-2018. </w:t>
      </w:r>
      <w:r w:rsidRPr="006B0BEF">
        <w:rPr>
          <w:rFonts w:cs="Arial"/>
        </w:rPr>
        <w:t>Mediante sesión extraordinaria del Consejo General del Instituto Nacional Electoral, celebrada el ocho de septiembre de dos mil diecisiete, dio inicio formalmente el Proceso Electoral Federal 2017-2018.</w:t>
      </w:r>
    </w:p>
    <w:p w:rsidR="00E635D6" w:rsidRPr="006B0BEF" w:rsidRDefault="00E635D6" w:rsidP="00E635D6">
      <w:pPr>
        <w:autoSpaceDE w:val="0"/>
        <w:autoSpaceDN w:val="0"/>
        <w:adjustRightInd w:val="0"/>
        <w:jc w:val="both"/>
        <w:rPr>
          <w:rFonts w:ascii="Arial" w:hAnsi="Arial" w:cs="Arial"/>
        </w:rPr>
      </w:pPr>
    </w:p>
    <w:p w:rsidR="00E635D6" w:rsidRPr="006B0BEF" w:rsidRDefault="00E635D6" w:rsidP="00E635D6">
      <w:pPr>
        <w:pStyle w:val="Prrafodelista"/>
        <w:numPr>
          <w:ilvl w:val="0"/>
          <w:numId w:val="3"/>
        </w:numPr>
        <w:autoSpaceDE w:val="0"/>
        <w:autoSpaceDN w:val="0"/>
        <w:adjustRightInd w:val="0"/>
        <w:ind w:left="567" w:hanging="709"/>
        <w:contextualSpacing/>
        <w:rPr>
          <w:rFonts w:cs="Arial"/>
        </w:rPr>
      </w:pPr>
      <w:r w:rsidRPr="006B0BEF">
        <w:rPr>
          <w:rFonts w:cs="Arial"/>
          <w:b/>
        </w:rPr>
        <w:t>Términos y condiciones de la entrega de materiales y elaboración de órdenes de transmisión, 2018</w:t>
      </w:r>
      <w:r w:rsidRPr="006B0BEF">
        <w:rPr>
          <w:rFonts w:cs="Arial"/>
        </w:rPr>
        <w:t xml:space="preserve">. El doce de octubre de dos mil diecisiete en la Novena Sesión Ordinaria del Comité de Radio y Televisión, se aprobó el </w:t>
      </w:r>
      <w:r w:rsidRPr="006B0BEF">
        <w:rPr>
          <w:rFonts w:cs="Arial"/>
          <w:i/>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6B0BEF">
        <w:rPr>
          <w:rFonts w:cs="Arial"/>
        </w:rPr>
        <w:t>, identificado como INE/ACRT/22/2017.</w:t>
      </w:r>
    </w:p>
    <w:p w:rsidR="00E635D6" w:rsidRPr="006B0BEF" w:rsidRDefault="00E635D6" w:rsidP="00F12130">
      <w:pPr>
        <w:autoSpaceDE w:val="0"/>
        <w:autoSpaceDN w:val="0"/>
        <w:adjustRightInd w:val="0"/>
        <w:rPr>
          <w:rFonts w:cs="Arial"/>
        </w:rPr>
      </w:pPr>
    </w:p>
    <w:p w:rsidR="00E635D6" w:rsidRPr="006B0BEF" w:rsidRDefault="00E635D6" w:rsidP="00E635D6">
      <w:pPr>
        <w:pStyle w:val="Prrafodelista"/>
        <w:numPr>
          <w:ilvl w:val="0"/>
          <w:numId w:val="3"/>
        </w:numPr>
        <w:autoSpaceDE w:val="0"/>
        <w:autoSpaceDN w:val="0"/>
        <w:adjustRightInd w:val="0"/>
        <w:ind w:left="567" w:hanging="709"/>
        <w:contextualSpacing/>
        <w:rPr>
          <w:rFonts w:cs="Arial"/>
        </w:rPr>
      </w:pPr>
      <w:r w:rsidRPr="006B0BEF">
        <w:rPr>
          <w:rFonts w:cs="Arial"/>
          <w:b/>
        </w:rPr>
        <w:t>Aprobación de pautas de autoridades electorales del Proceso Electoral Federal 2017-2018 y locales coincidentes</w:t>
      </w:r>
      <w:r w:rsidRPr="006B0BEF">
        <w:rPr>
          <w:rFonts w:cs="Arial"/>
        </w:rPr>
        <w:t xml:space="preserve">. El dieciocho de octubre de dos mil diecisiete, en sesión extraordinaria de la Junta General Ejecutiva del Instituto Nacional Electoral, se aprobó el </w:t>
      </w:r>
      <w:r w:rsidRPr="006B0BEF">
        <w:rPr>
          <w:rFonts w:cs="Arial"/>
          <w:i/>
        </w:rPr>
        <w:t xml:space="preserve">“Acuerdo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w:t>
      </w:r>
      <w:r w:rsidR="00F06251">
        <w:rPr>
          <w:rFonts w:cs="Arial"/>
          <w:i/>
        </w:rPr>
        <w:t>c</w:t>
      </w:r>
      <w:r w:rsidRPr="006B0BEF">
        <w:rPr>
          <w:rFonts w:cs="Arial"/>
          <w:i/>
        </w:rPr>
        <w:t>oincidente con la Federal en 2018”</w:t>
      </w:r>
      <w:r w:rsidRPr="006B0BEF">
        <w:rPr>
          <w:rFonts w:cs="Arial"/>
        </w:rPr>
        <w:t>, identificado como INE/JGE177/2017.</w:t>
      </w:r>
    </w:p>
    <w:p w:rsidR="00E635D6" w:rsidRPr="006B0BEF" w:rsidRDefault="00E635D6" w:rsidP="00E635D6">
      <w:pPr>
        <w:autoSpaceDE w:val="0"/>
        <w:autoSpaceDN w:val="0"/>
        <w:adjustRightInd w:val="0"/>
        <w:jc w:val="both"/>
        <w:rPr>
          <w:rFonts w:ascii="Arial" w:hAnsi="Arial" w:cs="Arial"/>
        </w:rPr>
      </w:pPr>
    </w:p>
    <w:p w:rsidR="00E635D6" w:rsidRPr="006B0BEF" w:rsidRDefault="00E635D6" w:rsidP="00E635D6">
      <w:pPr>
        <w:pStyle w:val="Prrafodelista"/>
        <w:numPr>
          <w:ilvl w:val="0"/>
          <w:numId w:val="3"/>
        </w:numPr>
        <w:autoSpaceDE w:val="0"/>
        <w:autoSpaceDN w:val="0"/>
        <w:adjustRightInd w:val="0"/>
        <w:ind w:left="567" w:hanging="709"/>
        <w:contextualSpacing/>
        <w:rPr>
          <w:rFonts w:cs="Arial"/>
        </w:rPr>
      </w:pPr>
      <w:r w:rsidRPr="006B0BEF">
        <w:rPr>
          <w:rFonts w:cs="Arial"/>
          <w:b/>
        </w:rPr>
        <w:t>Catálogo Nacional de Emisoras.</w:t>
      </w:r>
      <w:r w:rsidRPr="006B0BEF">
        <w:rPr>
          <w:rFonts w:cs="Arial"/>
        </w:rPr>
        <w:t xml:space="preserve"> El veintiséis de octubre de dos mil diecisiete en la Décima Sesión Ordinaria del Comité de Radio y Televisión del Instituto Nacional Electoral, se aprobó el </w:t>
      </w:r>
      <w:r w:rsidRPr="006B0BEF">
        <w:rPr>
          <w:rFonts w:cs="Arial"/>
          <w:i/>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6B0BEF">
        <w:rPr>
          <w:rFonts w:cs="Arial"/>
        </w:rPr>
        <w:t>identificado como INE/ACRT/23/2017.</w:t>
      </w:r>
    </w:p>
    <w:p w:rsidR="00E635D6" w:rsidRPr="006B0BEF" w:rsidRDefault="00E635D6" w:rsidP="00E635D6">
      <w:pPr>
        <w:pStyle w:val="Prrafodelista"/>
        <w:autoSpaceDE w:val="0"/>
        <w:autoSpaceDN w:val="0"/>
        <w:adjustRightInd w:val="0"/>
        <w:ind w:left="567"/>
        <w:rPr>
          <w:rFonts w:cs="Arial"/>
        </w:rPr>
      </w:pPr>
    </w:p>
    <w:p w:rsidR="00E635D6" w:rsidRPr="006B0BEF" w:rsidRDefault="00E635D6" w:rsidP="00E635D6">
      <w:pPr>
        <w:pStyle w:val="Prrafodelista"/>
        <w:numPr>
          <w:ilvl w:val="0"/>
          <w:numId w:val="3"/>
        </w:numPr>
        <w:autoSpaceDE w:val="0"/>
        <w:autoSpaceDN w:val="0"/>
        <w:adjustRightInd w:val="0"/>
        <w:ind w:left="567" w:hanging="709"/>
        <w:contextualSpacing/>
        <w:rPr>
          <w:rFonts w:cs="Arial"/>
        </w:rPr>
      </w:pPr>
      <w:r w:rsidRPr="006B0BEF">
        <w:rPr>
          <w:rFonts w:cs="Arial"/>
          <w:b/>
        </w:rPr>
        <w:lastRenderedPageBreak/>
        <w:t>Aprobación de pautas de partidos políticos del Proceso Electoral Federal 2017-2018</w:t>
      </w:r>
      <w:r w:rsidRPr="006B0BEF">
        <w:rPr>
          <w:rFonts w:cs="Arial"/>
        </w:rPr>
        <w:t xml:space="preserve">. El veintiséis de octubre de dos mil diecisiete, en la Décima Sesión Ordinaria del Comité de Radio y Televisión del Instituto Nacional Electoral, se aprobó el </w:t>
      </w:r>
      <w:r w:rsidRPr="006B0BEF">
        <w:rPr>
          <w:rFonts w:cs="Arial"/>
          <w:i/>
        </w:rPr>
        <w:t>“Acuerdo […] por el que se aprueban las pautas para la transmisión en radio y televisión de los mensajes de los partidos políticos para el periodo de precampaña del Proceso Electoral Federal 2017-2018”</w:t>
      </w:r>
      <w:r w:rsidRPr="006B0BEF">
        <w:rPr>
          <w:rFonts w:cs="Arial"/>
        </w:rPr>
        <w:t>, identificado como INE/ACRT/24/2017.</w:t>
      </w:r>
    </w:p>
    <w:p w:rsidR="00F12130" w:rsidRPr="006B0BEF" w:rsidRDefault="00F12130" w:rsidP="00F12130">
      <w:pPr>
        <w:pStyle w:val="Prrafodelista"/>
        <w:autoSpaceDE w:val="0"/>
        <w:autoSpaceDN w:val="0"/>
        <w:adjustRightInd w:val="0"/>
        <w:ind w:left="567" w:hanging="709"/>
        <w:contextualSpacing/>
        <w:rPr>
          <w:rFonts w:cs="Arial"/>
        </w:rPr>
      </w:pPr>
    </w:p>
    <w:p w:rsidR="00F12130" w:rsidRPr="006B0BEF" w:rsidRDefault="00F12130" w:rsidP="00F12130">
      <w:pPr>
        <w:pStyle w:val="Prrafodelista"/>
        <w:numPr>
          <w:ilvl w:val="0"/>
          <w:numId w:val="3"/>
        </w:numPr>
        <w:autoSpaceDE w:val="0"/>
        <w:autoSpaceDN w:val="0"/>
        <w:adjustRightInd w:val="0"/>
        <w:ind w:left="567" w:hanging="709"/>
        <w:rPr>
          <w:rFonts w:cs="Arial"/>
        </w:rPr>
      </w:pPr>
      <w:r w:rsidRPr="006B0BEF">
        <w:rPr>
          <w:rFonts w:cs="Arial"/>
          <w:b/>
        </w:rPr>
        <w:t xml:space="preserve">Aprobación de propuesta de pautado por parte del OPLE. </w:t>
      </w:r>
      <w:r w:rsidRPr="006B0BEF">
        <w:rPr>
          <w:rFonts w:cs="Arial"/>
        </w:rPr>
        <w:t xml:space="preserve">El nueve de noviembre de dos mil diecisiete, el </w:t>
      </w:r>
      <w:r w:rsidRPr="006B0BEF">
        <w:rPr>
          <w:rFonts w:cs="Arial"/>
          <w:color w:val="000000"/>
        </w:rPr>
        <w:t>Consejo General del Instituto Estatal Electoral de Aguascalientes</w:t>
      </w:r>
      <w:r w:rsidRPr="006B0BEF">
        <w:rPr>
          <w:rFonts w:cs="Arial"/>
          <w:i/>
        </w:rPr>
        <w:t xml:space="preserve">, </w:t>
      </w:r>
      <w:r w:rsidRPr="006B0BEF">
        <w:rPr>
          <w:rFonts w:cs="Arial"/>
        </w:rPr>
        <w:t>aprobó el “</w:t>
      </w:r>
      <w:r w:rsidRPr="006B0BEF">
        <w:rPr>
          <w:rFonts w:cs="Arial"/>
          <w:i/>
        </w:rPr>
        <w:t>Acuerdo mediante el cual […]</w:t>
      </w:r>
      <w:r w:rsidRPr="006B0BEF">
        <w:rPr>
          <w:rFonts w:cs="Arial"/>
        </w:rPr>
        <w:t xml:space="preserve"> </w:t>
      </w:r>
      <w:r w:rsidRPr="006B0BEF">
        <w:rPr>
          <w:rFonts w:cs="Arial"/>
          <w:i/>
        </w:rPr>
        <w:t xml:space="preserve">emite la propuesta del modelo de pauta relativa al acceso a radio y televisión de los partidos políticos nacionales acreditados en el estado para sus periodos de precampaña, intercampaña y campaña electoral, así como de las candidaturas independientes que en su caso se registren, durante el Proceso Electoral Local 2017-2018, a efecto de que sea remitida al Instituto Nacional Electoral para su aprobación”, </w:t>
      </w:r>
      <w:r w:rsidRPr="006B0BEF">
        <w:rPr>
          <w:rFonts w:cs="Arial"/>
        </w:rPr>
        <w:t>identificado como CG-A-40/17.</w:t>
      </w:r>
    </w:p>
    <w:p w:rsidR="00F12130" w:rsidRPr="006B0BEF" w:rsidRDefault="00F12130" w:rsidP="00F12130">
      <w:pPr>
        <w:pStyle w:val="Prrafodelista"/>
        <w:autoSpaceDE w:val="0"/>
        <w:autoSpaceDN w:val="0"/>
        <w:adjustRightInd w:val="0"/>
        <w:ind w:left="567" w:hanging="709"/>
        <w:rPr>
          <w:rFonts w:cs="Arial"/>
        </w:rPr>
      </w:pPr>
    </w:p>
    <w:p w:rsidR="00F12130" w:rsidRPr="006B0BEF" w:rsidRDefault="00F12130" w:rsidP="00F12130">
      <w:pPr>
        <w:pStyle w:val="Prrafodelista"/>
        <w:numPr>
          <w:ilvl w:val="0"/>
          <w:numId w:val="3"/>
        </w:numPr>
        <w:autoSpaceDE w:val="0"/>
        <w:autoSpaceDN w:val="0"/>
        <w:adjustRightInd w:val="0"/>
        <w:ind w:left="567" w:hanging="709"/>
        <w:rPr>
          <w:rFonts w:cs="Arial"/>
        </w:rPr>
      </w:pPr>
      <w:r w:rsidRPr="006B0BEF">
        <w:rPr>
          <w:rFonts w:cs="Arial"/>
          <w:b/>
        </w:rPr>
        <w:t xml:space="preserve">Aprobación de pautas de partidos políticos para el Proceso Electoral Local </w:t>
      </w:r>
      <w:r w:rsidR="00F06251">
        <w:rPr>
          <w:rFonts w:cs="Arial"/>
          <w:b/>
        </w:rPr>
        <w:t>c</w:t>
      </w:r>
      <w:r w:rsidRPr="006B0BEF">
        <w:rPr>
          <w:rFonts w:cs="Arial"/>
          <w:b/>
        </w:rPr>
        <w:t>oincidente con el Federal, en el estado de Aguascalientes</w:t>
      </w:r>
      <w:r w:rsidRPr="006B0BEF">
        <w:rPr>
          <w:rFonts w:cs="Arial"/>
        </w:rPr>
        <w:t xml:space="preserve">. El cinco de diciembre de dos mil diecisiete en la Décima Octava Sesión Especial del Comité de Radio y Televisión del Instituto Nacional Electoral, se aprobó el </w:t>
      </w:r>
      <w:r w:rsidRPr="006B0BEF">
        <w:rPr>
          <w:rFonts w:cs="Arial"/>
          <w:i/>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Aguascalientes”, </w:t>
      </w:r>
      <w:r w:rsidRPr="006B0BEF">
        <w:rPr>
          <w:rFonts w:cs="Arial"/>
        </w:rPr>
        <w:t>identificado como INE/ACRT/40/2017.</w:t>
      </w:r>
    </w:p>
    <w:p w:rsidR="00F12130" w:rsidRPr="006B0BEF" w:rsidRDefault="00F12130" w:rsidP="00F12130">
      <w:pPr>
        <w:autoSpaceDE w:val="0"/>
        <w:autoSpaceDN w:val="0"/>
        <w:adjustRightInd w:val="0"/>
        <w:rPr>
          <w:rFonts w:cs="Arial"/>
        </w:rPr>
      </w:pPr>
    </w:p>
    <w:p w:rsidR="00E635D6" w:rsidRPr="006B0BEF" w:rsidRDefault="00E635D6" w:rsidP="00E635D6">
      <w:pPr>
        <w:pStyle w:val="Prrafodelista"/>
        <w:numPr>
          <w:ilvl w:val="0"/>
          <w:numId w:val="3"/>
        </w:numPr>
        <w:autoSpaceDE w:val="0"/>
        <w:autoSpaceDN w:val="0"/>
        <w:adjustRightInd w:val="0"/>
        <w:ind w:left="567" w:hanging="709"/>
        <w:contextualSpacing/>
        <w:rPr>
          <w:rFonts w:cs="Arial"/>
        </w:rPr>
      </w:pPr>
      <w:r w:rsidRPr="006B0BEF">
        <w:rPr>
          <w:rFonts w:cs="Arial"/>
          <w:b/>
        </w:rPr>
        <w:t>Aprobación de pautas de autoridades electorales del Proceso Electoral Federal 2017-2018 y locales coincidentes</w:t>
      </w:r>
      <w:r w:rsidRPr="006B0BEF">
        <w:rPr>
          <w:rFonts w:cs="Arial"/>
        </w:rPr>
        <w:t xml:space="preserve">. El once de diciembre dos mil diecisiete, en sesión ordinaria de la Junta General Ejecutiva del Instituto Nacional Electoral, se aprobó el </w:t>
      </w:r>
      <w:r w:rsidRPr="006B0BEF">
        <w:rPr>
          <w:rFonts w:cs="Arial"/>
          <w:i/>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6B0BEF">
        <w:rPr>
          <w:rFonts w:cs="Arial"/>
        </w:rPr>
        <w:t>, identificado como INE/JGE231/2017.</w:t>
      </w:r>
    </w:p>
    <w:p w:rsidR="00E635D6" w:rsidRPr="006B0BEF" w:rsidRDefault="00E635D6" w:rsidP="00E635D6">
      <w:pPr>
        <w:pStyle w:val="Prrafodelista"/>
        <w:autoSpaceDE w:val="0"/>
        <w:autoSpaceDN w:val="0"/>
        <w:adjustRightInd w:val="0"/>
        <w:ind w:left="567"/>
        <w:rPr>
          <w:rFonts w:cs="Arial"/>
        </w:rPr>
      </w:pPr>
    </w:p>
    <w:p w:rsidR="00E635D6" w:rsidRPr="006B0BEF" w:rsidRDefault="00E635D6" w:rsidP="00E635D6">
      <w:pPr>
        <w:pStyle w:val="Prrafodelista"/>
        <w:numPr>
          <w:ilvl w:val="0"/>
          <w:numId w:val="3"/>
        </w:numPr>
        <w:autoSpaceDE w:val="0"/>
        <w:autoSpaceDN w:val="0"/>
        <w:adjustRightInd w:val="0"/>
        <w:ind w:left="567" w:hanging="709"/>
        <w:contextualSpacing/>
        <w:rPr>
          <w:rFonts w:cs="Arial"/>
        </w:rPr>
      </w:pPr>
      <w:r w:rsidRPr="006B0BEF">
        <w:rPr>
          <w:rFonts w:cs="Arial"/>
          <w:b/>
        </w:rPr>
        <w:t>Aprobación del orden de distribución de promocionales</w:t>
      </w:r>
      <w:r w:rsidRPr="006B0BEF">
        <w:rPr>
          <w:rFonts w:cs="Arial"/>
        </w:rPr>
        <w:t xml:space="preserve">. El veinte de diciembre de dos mil diecisiete, en la Décima Segunda Sesión Ordinaria del Comité de Radio y Televisión del Instituto Nacional Electoral, se aprobó el </w:t>
      </w:r>
      <w:r w:rsidRPr="006B0BEF">
        <w:rPr>
          <w:rFonts w:cs="Arial"/>
          <w:i/>
        </w:rPr>
        <w:t>“Acuerdo […] por el que se determina el orden de distribución de los promocionales de partidos políticos y autoridades electorales en los periodos electorales federal y locales con jornada comicial en 2018 durante las etapas de intercampaña y campaña”</w:t>
      </w:r>
      <w:r w:rsidRPr="006B0BEF">
        <w:rPr>
          <w:rFonts w:cs="Arial"/>
        </w:rPr>
        <w:t>, identificado como INE/ACRT/62/2017.</w:t>
      </w:r>
    </w:p>
    <w:p w:rsidR="00E635D6" w:rsidRPr="006B0BEF" w:rsidRDefault="00E635D6" w:rsidP="00E635D6">
      <w:pPr>
        <w:pStyle w:val="Prrafodelista"/>
        <w:autoSpaceDE w:val="0"/>
        <w:autoSpaceDN w:val="0"/>
        <w:adjustRightInd w:val="0"/>
        <w:ind w:left="567"/>
        <w:rPr>
          <w:rFonts w:cs="Arial"/>
        </w:rPr>
      </w:pPr>
    </w:p>
    <w:p w:rsidR="00E635D6" w:rsidRPr="006B0BEF" w:rsidRDefault="00E635D6" w:rsidP="00E635D6">
      <w:pPr>
        <w:pStyle w:val="Prrafodelista"/>
        <w:numPr>
          <w:ilvl w:val="0"/>
          <w:numId w:val="3"/>
        </w:numPr>
        <w:autoSpaceDE w:val="0"/>
        <w:autoSpaceDN w:val="0"/>
        <w:adjustRightInd w:val="0"/>
        <w:ind w:left="567" w:hanging="709"/>
        <w:contextualSpacing/>
        <w:rPr>
          <w:rFonts w:cs="Arial"/>
        </w:rPr>
      </w:pPr>
      <w:r w:rsidRPr="006B0BEF">
        <w:rPr>
          <w:rFonts w:cs="Arial"/>
          <w:b/>
        </w:rPr>
        <w:t xml:space="preserve">Registro de la Coalición Total. </w:t>
      </w:r>
      <w:r w:rsidRPr="006B0BEF">
        <w:rPr>
          <w:rFonts w:cs="Arial"/>
        </w:rPr>
        <w:t xml:space="preserve">El </w:t>
      </w:r>
      <w:r w:rsidR="002D25B6" w:rsidRPr="006B0BEF">
        <w:rPr>
          <w:rFonts w:cs="Arial"/>
        </w:rPr>
        <w:t>veintiuno de enero de dos mil dieciocho, el Consejo General del Instituto Estatal Electoral</w:t>
      </w:r>
      <w:r w:rsidR="00AA0AC8" w:rsidRPr="006B0BEF">
        <w:rPr>
          <w:rFonts w:cs="Arial"/>
        </w:rPr>
        <w:t xml:space="preserve"> de</w:t>
      </w:r>
      <w:r w:rsidR="002D25B6" w:rsidRPr="006B0BEF">
        <w:rPr>
          <w:rFonts w:cs="Arial"/>
        </w:rPr>
        <w:t xml:space="preserve"> Aguascalientes, aprobó la </w:t>
      </w:r>
      <w:r w:rsidR="002D25B6" w:rsidRPr="006B0BEF">
        <w:rPr>
          <w:rFonts w:cs="Arial"/>
          <w:i/>
        </w:rPr>
        <w:t>“Resolución […] mediante la cual resuelve respecto de la solicitud de registro del convenio de la coalición ´Por Aguascalientes al Frente` celebrado por los partidos políticos, Partido Acción Nacional, Partido de la Revolución Democrática y Movimiento Ciudadano, para el Proceso Electoral 2017-2018 en Aguascalientes”</w:t>
      </w:r>
      <w:r w:rsidR="002D25B6" w:rsidRPr="006B0BEF">
        <w:rPr>
          <w:rFonts w:cs="Arial"/>
        </w:rPr>
        <w:t>, identificado como CG-R-03/18.</w:t>
      </w:r>
    </w:p>
    <w:p w:rsidR="00E635D6" w:rsidRPr="006B0BEF" w:rsidRDefault="00E635D6" w:rsidP="00E635D6">
      <w:pPr>
        <w:pStyle w:val="Prrafodelista"/>
        <w:autoSpaceDE w:val="0"/>
        <w:autoSpaceDN w:val="0"/>
        <w:adjustRightInd w:val="0"/>
        <w:ind w:left="567"/>
        <w:rPr>
          <w:rFonts w:cs="Arial"/>
        </w:rPr>
      </w:pPr>
    </w:p>
    <w:p w:rsidR="00E635D6" w:rsidRPr="006B0BEF" w:rsidRDefault="00E635D6" w:rsidP="00E635D6">
      <w:pPr>
        <w:pStyle w:val="Prrafodelista"/>
        <w:autoSpaceDE w:val="0"/>
        <w:autoSpaceDN w:val="0"/>
        <w:adjustRightInd w:val="0"/>
        <w:ind w:left="567"/>
        <w:rPr>
          <w:rFonts w:cs="Arial"/>
        </w:rPr>
      </w:pPr>
    </w:p>
    <w:p w:rsidR="00E635D6" w:rsidRPr="006B0BEF" w:rsidRDefault="00E635D6" w:rsidP="00E635D6">
      <w:pPr>
        <w:pStyle w:val="Default"/>
        <w:jc w:val="center"/>
        <w:rPr>
          <w:b/>
          <w:bCs/>
        </w:rPr>
      </w:pPr>
      <w:r w:rsidRPr="006B0BEF">
        <w:rPr>
          <w:b/>
          <w:bCs/>
        </w:rPr>
        <w:t>C o n s i d e r a n d o</w:t>
      </w:r>
    </w:p>
    <w:p w:rsidR="00E635D6" w:rsidRPr="006B0BEF" w:rsidRDefault="00E635D6" w:rsidP="00E635D6">
      <w:pPr>
        <w:pStyle w:val="Default"/>
        <w:jc w:val="center"/>
        <w:rPr>
          <w:sz w:val="23"/>
          <w:szCs w:val="23"/>
        </w:rPr>
      </w:pPr>
    </w:p>
    <w:p w:rsidR="00E635D6" w:rsidRPr="006B0BEF" w:rsidRDefault="00E635D6" w:rsidP="00E635D6">
      <w:pPr>
        <w:pStyle w:val="Default"/>
        <w:rPr>
          <w:sz w:val="23"/>
          <w:szCs w:val="23"/>
        </w:rPr>
      </w:pPr>
      <w:r w:rsidRPr="006B0BEF">
        <w:rPr>
          <w:b/>
          <w:bCs/>
          <w:sz w:val="23"/>
          <w:szCs w:val="23"/>
        </w:rPr>
        <w:t xml:space="preserve">Competencia en materia de administración de tiempos de radio y televisión </w:t>
      </w:r>
    </w:p>
    <w:p w:rsidR="00E635D6" w:rsidRPr="006B0BEF" w:rsidRDefault="00E635D6" w:rsidP="00E635D6">
      <w:pPr>
        <w:pStyle w:val="Default"/>
        <w:rPr>
          <w:sz w:val="23"/>
          <w:szCs w:val="23"/>
        </w:rPr>
      </w:pPr>
    </w:p>
    <w:p w:rsidR="00E635D6" w:rsidRPr="006B0BEF" w:rsidRDefault="00E635D6" w:rsidP="00E635D6">
      <w:pPr>
        <w:numPr>
          <w:ilvl w:val="0"/>
          <w:numId w:val="4"/>
        </w:numPr>
        <w:tabs>
          <w:tab w:val="clear" w:pos="11341"/>
          <w:tab w:val="num" w:pos="7513"/>
        </w:tabs>
        <w:ind w:left="567" w:hanging="567"/>
        <w:jc w:val="both"/>
        <w:rPr>
          <w:rFonts w:ascii="Arial" w:hAnsi="Arial" w:cs="Arial"/>
          <w:color w:val="000000"/>
        </w:rPr>
      </w:pPr>
      <w:r w:rsidRPr="006B0BEF">
        <w:rPr>
          <w:rFonts w:ascii="Arial" w:hAnsi="Arial" w:cs="Arial"/>
          <w:color w:val="000000"/>
        </w:rPr>
        <w:t>De conformidad con lo dispuesto por los artículos 41, base III, apartados A, primer párrafo y B, de la Constitución Política de los Estados Unidos Mexicanos; y 30, numeral 1, inciso h); 159, numeral 2, 160, numeral 1 de la Ley General de Instituciones y Procedimientos Electorales y 7, numeral 3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E635D6" w:rsidRPr="006B0BEF" w:rsidRDefault="00E635D6" w:rsidP="00E635D6">
      <w:pPr>
        <w:ind w:left="567"/>
        <w:jc w:val="both"/>
        <w:rPr>
          <w:rFonts w:ascii="Arial" w:hAnsi="Arial" w:cs="Arial"/>
          <w:color w:val="000000"/>
        </w:rPr>
      </w:pP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t>Los artículos 41, Base III, primer párrafo de la Constitución Política de los Estados Unidos Mexicanos; 160, numeral 2 de la Ley General de Instituciones y Procedimientos Electorales; 23, numeral 1, inciso d) y 26, numeral 1, inciso a) y 49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w:t>
      </w:r>
    </w:p>
    <w:p w:rsidR="00E635D6" w:rsidRPr="006B0BEF" w:rsidRDefault="00E635D6" w:rsidP="00E635D6">
      <w:pPr>
        <w:ind w:left="567"/>
        <w:jc w:val="both"/>
        <w:rPr>
          <w:rFonts w:ascii="Arial" w:hAnsi="Arial" w:cs="Arial"/>
          <w:color w:val="000000"/>
          <w:sz w:val="16"/>
          <w:szCs w:val="16"/>
        </w:rPr>
      </w:pP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t>Como lo señalan los artículos 1, numerales 1 y 2 de la Ley General de Instituciones y Procedimientos Electorales,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E635D6" w:rsidRPr="006B0BEF" w:rsidRDefault="00E635D6" w:rsidP="00E635D6">
      <w:pPr>
        <w:ind w:left="567"/>
        <w:jc w:val="both"/>
        <w:rPr>
          <w:rFonts w:ascii="Arial" w:hAnsi="Arial" w:cs="Arial"/>
          <w:color w:val="000000"/>
          <w:sz w:val="16"/>
          <w:szCs w:val="16"/>
        </w:rPr>
      </w:pP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t xml:space="preserve">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w:t>
      </w:r>
      <w:r w:rsidRPr="006B0BEF">
        <w:rPr>
          <w:rFonts w:ascii="Arial" w:hAnsi="Arial" w:cs="Arial"/>
          <w:color w:val="000000"/>
        </w:rPr>
        <w:lastRenderedPageBreak/>
        <w:t>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E635D6" w:rsidRPr="006B0BEF" w:rsidRDefault="00E635D6" w:rsidP="00E635D6">
      <w:pPr>
        <w:jc w:val="both"/>
        <w:rPr>
          <w:rFonts w:ascii="Arial" w:hAnsi="Arial" w:cs="Arial"/>
          <w:color w:val="000000"/>
        </w:rPr>
      </w:pP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t>En los Procesos Electorales Federales el Instituto administrará los tiempos que correspondan al Estado en cada estación de radio y canal de televisión. Los cuarenta y ocho minutos de que dispondrá el Instituto se utilizarán desde el inicio de la precampaña hasta el término de la jornada electoral, de conformidad con lo establecido en el artículo 165, numeral 1 de la Ley General de Instituciones y Procedimientos Electorales.</w:t>
      </w:r>
    </w:p>
    <w:p w:rsidR="00E635D6" w:rsidRPr="006B0BEF" w:rsidRDefault="00E635D6" w:rsidP="00E635D6">
      <w:pPr>
        <w:ind w:left="567"/>
        <w:jc w:val="both"/>
        <w:rPr>
          <w:rFonts w:ascii="Arial" w:hAnsi="Arial" w:cs="Arial"/>
          <w:color w:val="000000"/>
        </w:rPr>
      </w:pPr>
    </w:p>
    <w:p w:rsidR="00E635D6" w:rsidRPr="006B0BEF" w:rsidRDefault="00E635D6" w:rsidP="00E635D6">
      <w:pPr>
        <w:jc w:val="both"/>
        <w:rPr>
          <w:rFonts w:ascii="Arial" w:hAnsi="Arial" w:cs="Arial"/>
          <w:b/>
          <w:bCs/>
          <w:color w:val="000000"/>
        </w:rPr>
      </w:pPr>
      <w:r w:rsidRPr="006B0BEF">
        <w:rPr>
          <w:rFonts w:ascii="Arial" w:hAnsi="Arial" w:cs="Arial"/>
          <w:b/>
          <w:bCs/>
          <w:color w:val="000000"/>
        </w:rPr>
        <w:t xml:space="preserve">Competencia específica </w:t>
      </w:r>
      <w:r w:rsidRPr="006B0BEF">
        <w:rPr>
          <w:rFonts w:ascii="Arial" w:hAnsi="Arial" w:cs="Arial"/>
          <w:b/>
          <w:color w:val="000000"/>
        </w:rPr>
        <w:t>del Comité de Radio y Televisión</w:t>
      </w:r>
    </w:p>
    <w:p w:rsidR="00E635D6" w:rsidRPr="006B0BEF" w:rsidRDefault="00E635D6" w:rsidP="00E635D6">
      <w:pPr>
        <w:jc w:val="both"/>
        <w:rPr>
          <w:rFonts w:ascii="Arial" w:hAnsi="Arial" w:cs="Arial"/>
          <w:b/>
          <w:bCs/>
          <w:color w:val="000000"/>
        </w:rPr>
      </w:pP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E635D6" w:rsidRPr="006B0BEF" w:rsidRDefault="00E635D6" w:rsidP="00E635D6">
      <w:pPr>
        <w:ind w:left="567"/>
        <w:jc w:val="both"/>
        <w:rPr>
          <w:rFonts w:ascii="Arial" w:hAnsi="Arial" w:cs="Arial"/>
          <w:color w:val="000000"/>
        </w:rPr>
      </w:pP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t xml:space="preserve">Los artículos 162, numeral 1, inciso d); 184, numeral 1, inciso a) de la Ley General de Instituciones y Procedimientos Electorales, 4, numeral 2, inciso d); así como 34, numeral 2 del Reglamento de Radio y Televisión en Materia Electoral, establecen que el Comité de Radio y Televisión es el responsable de conocer y aprobar las pautas de transmisión correspondientes a los mensajes de los partidos políticos y, en su caso, de las coaliciones y candidatos/as independientes, así como los demás asuntos que en la materia conciernan en forma directa a los propios partidos. </w:t>
      </w:r>
    </w:p>
    <w:p w:rsidR="00E635D6" w:rsidRPr="006B0BEF" w:rsidRDefault="00E635D6" w:rsidP="00E635D6">
      <w:pPr>
        <w:ind w:left="567"/>
        <w:jc w:val="both"/>
        <w:rPr>
          <w:rFonts w:ascii="Arial" w:hAnsi="Arial" w:cs="Arial"/>
          <w:color w:val="000000"/>
        </w:rPr>
      </w:pP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t>De conformidad con lo establecido en el artículo 6 numeral 2, inciso b) del Reglamento de Radio y Televisión en Materia Electoral, es atribución del Comité de Radio y Televisión conocer y en su caso modificar los modelos de distribución que presenten los Organismos Públicos Locales Electorales, para la transmisión de los promocionales de los partidos políticos y de los/las candidatos/as independientes con motivo de los Procesos Electorales Locales.</w:t>
      </w:r>
    </w:p>
    <w:p w:rsidR="00E635D6" w:rsidRPr="006B0BEF" w:rsidRDefault="00E635D6" w:rsidP="00E635D6">
      <w:pPr>
        <w:ind w:left="567"/>
        <w:jc w:val="both"/>
        <w:rPr>
          <w:rFonts w:ascii="Arial" w:hAnsi="Arial" w:cs="Arial"/>
          <w:color w:val="000000"/>
        </w:rPr>
      </w:pP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t>Como lo establece el artículo 36, numeral 1, inciso c) del Reglamento de la materia, las pautas aprobadas por este Comité podrán ser objeto de modificación con motivo del registro de una coalición total, como en el presente caso, por el registro de la coalición integrada por los partidos políticos Acción Nacional, de la Revolución Democrática y Movimiento Ciudadano, denominada “</w:t>
      </w:r>
      <w:r w:rsidR="00B85369" w:rsidRPr="006B0BEF">
        <w:rPr>
          <w:rFonts w:ascii="Arial" w:hAnsi="Arial" w:cs="Arial"/>
          <w:color w:val="000000"/>
        </w:rPr>
        <w:t>Por Aguascalientes</w:t>
      </w:r>
      <w:r w:rsidRPr="006B0BEF">
        <w:rPr>
          <w:rFonts w:ascii="Arial" w:hAnsi="Arial" w:cs="Arial"/>
          <w:color w:val="000000"/>
        </w:rPr>
        <w:t xml:space="preserve"> al Frente”. </w:t>
      </w:r>
    </w:p>
    <w:p w:rsidR="00E635D6" w:rsidRPr="00506277" w:rsidRDefault="00E635D6" w:rsidP="00E635D6">
      <w:pPr>
        <w:pStyle w:val="Default"/>
        <w:rPr>
          <w:sz w:val="10"/>
          <w:szCs w:val="10"/>
        </w:rPr>
      </w:pPr>
    </w:p>
    <w:p w:rsidR="00E635D6" w:rsidRPr="006B0BEF" w:rsidRDefault="00E635D6" w:rsidP="00E635D6">
      <w:pPr>
        <w:rPr>
          <w:rFonts w:ascii="Arial" w:hAnsi="Arial" w:cs="Arial"/>
          <w:b/>
        </w:rPr>
      </w:pPr>
      <w:r w:rsidRPr="006B0BEF">
        <w:rPr>
          <w:rFonts w:ascii="Arial" w:hAnsi="Arial" w:cs="Arial"/>
          <w:b/>
        </w:rPr>
        <w:t>Distribución del tiempo en radio y televisión para la coalición total.</w:t>
      </w:r>
    </w:p>
    <w:p w:rsidR="00E635D6" w:rsidRPr="006B0BEF" w:rsidRDefault="00E635D6" w:rsidP="00E635D6">
      <w:pPr>
        <w:ind w:left="720" w:hanging="397"/>
        <w:contextualSpacing/>
        <w:jc w:val="both"/>
        <w:rPr>
          <w:rFonts w:ascii="Arial" w:hAnsi="Arial" w:cs="Arial"/>
          <w:b/>
        </w:rPr>
      </w:pP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t>La Ley General de Partidos Políticos, en su artículo 87, numeral 2, establece que los partidos políticos nacionales y locales podrán formar coaliciones para las elecciones de Gobernador, diputados a las legislaturas locales de mayoría relativa y ayuntamientos.</w:t>
      </w:r>
    </w:p>
    <w:p w:rsidR="00E635D6" w:rsidRPr="00506277" w:rsidRDefault="00E635D6" w:rsidP="00E635D6">
      <w:pPr>
        <w:ind w:left="567"/>
        <w:jc w:val="both"/>
        <w:rPr>
          <w:rFonts w:ascii="Arial" w:hAnsi="Arial" w:cs="Arial"/>
          <w:sz w:val="16"/>
          <w:szCs w:val="16"/>
        </w:rPr>
      </w:pPr>
    </w:p>
    <w:p w:rsidR="00E635D6" w:rsidRPr="006B0BEF" w:rsidRDefault="00E635D6" w:rsidP="00E635D6">
      <w:pPr>
        <w:numPr>
          <w:ilvl w:val="0"/>
          <w:numId w:val="4"/>
        </w:numPr>
        <w:tabs>
          <w:tab w:val="num" w:pos="567"/>
        </w:tabs>
        <w:ind w:left="567" w:hanging="567"/>
        <w:jc w:val="both"/>
        <w:rPr>
          <w:rFonts w:ascii="Arial" w:hAnsi="Arial" w:cs="Arial"/>
        </w:rPr>
      </w:pPr>
      <w:r w:rsidRPr="006B0BEF">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E635D6" w:rsidRPr="00506277" w:rsidRDefault="00E635D6" w:rsidP="00E635D6">
      <w:pPr>
        <w:ind w:left="567"/>
        <w:jc w:val="both"/>
        <w:rPr>
          <w:rFonts w:ascii="Arial" w:hAnsi="Arial" w:cs="Arial"/>
          <w:sz w:val="16"/>
          <w:szCs w:val="16"/>
        </w:rPr>
      </w:pPr>
    </w:p>
    <w:p w:rsidR="00E635D6" w:rsidRPr="006B0BEF" w:rsidRDefault="00E635D6" w:rsidP="00E635D6">
      <w:pPr>
        <w:numPr>
          <w:ilvl w:val="0"/>
          <w:numId w:val="4"/>
        </w:numPr>
        <w:tabs>
          <w:tab w:val="num" w:pos="567"/>
        </w:tabs>
        <w:ind w:left="567" w:hanging="567"/>
        <w:jc w:val="both"/>
        <w:rPr>
          <w:rFonts w:ascii="Arial" w:hAnsi="Arial" w:cs="Arial"/>
          <w:spacing w:val="-4"/>
        </w:rPr>
      </w:pPr>
      <w:r w:rsidRPr="006B0BEF">
        <w:rPr>
          <w:rFonts w:ascii="Arial" w:hAnsi="Arial" w:cs="Arial"/>
          <w:spacing w:val="-4"/>
        </w:rPr>
        <w:t>Asimismo, en el artículo 88 de la Ley General de Partidos Políticos, se describen las modalidades de coalición de la siguiente manera:</w:t>
      </w:r>
    </w:p>
    <w:p w:rsidR="00E635D6" w:rsidRPr="006B0BEF" w:rsidRDefault="00E635D6" w:rsidP="00E635D6">
      <w:pPr>
        <w:ind w:left="567"/>
        <w:jc w:val="both"/>
        <w:rPr>
          <w:rFonts w:ascii="Arial" w:hAnsi="Arial" w:cs="Arial"/>
        </w:rPr>
      </w:pPr>
    </w:p>
    <w:p w:rsidR="00E635D6" w:rsidRPr="006B0BEF" w:rsidRDefault="00E635D6" w:rsidP="00E635D6">
      <w:pPr>
        <w:pStyle w:val="Prrafodelista"/>
        <w:numPr>
          <w:ilvl w:val="4"/>
          <w:numId w:val="5"/>
        </w:numPr>
        <w:ind w:left="993" w:hanging="426"/>
        <w:contextualSpacing/>
        <w:rPr>
          <w:rFonts w:cs="Arial"/>
        </w:rPr>
      </w:pPr>
      <w:r w:rsidRPr="006B0BEF">
        <w:rPr>
          <w:rFonts w:cs="Arial"/>
        </w:rPr>
        <w:t>Total, para postular a la totalidad de los candidatos en un mismo proceso electoral federal o local, bajo una misma plataforma electoral;</w:t>
      </w:r>
    </w:p>
    <w:p w:rsidR="00E635D6" w:rsidRPr="006B0BEF" w:rsidRDefault="00E635D6" w:rsidP="00E635D6">
      <w:pPr>
        <w:pStyle w:val="Prrafodelista"/>
        <w:numPr>
          <w:ilvl w:val="4"/>
          <w:numId w:val="5"/>
        </w:numPr>
        <w:ind w:left="993" w:hanging="426"/>
        <w:contextualSpacing/>
        <w:rPr>
          <w:rFonts w:cs="Arial"/>
        </w:rPr>
      </w:pPr>
      <w:r w:rsidRPr="006B0BEF">
        <w:rPr>
          <w:rFonts w:cs="Arial"/>
        </w:rPr>
        <w:t>Parcial, para postular al menos el cincuenta por ciento de las candidaturas en un mismo proceso electoral federal o local, bajo una misma plataforma electoral;</w:t>
      </w:r>
    </w:p>
    <w:p w:rsidR="00E635D6" w:rsidRPr="006B0BEF" w:rsidRDefault="00E635D6" w:rsidP="00E635D6">
      <w:pPr>
        <w:pStyle w:val="Prrafodelista"/>
        <w:numPr>
          <w:ilvl w:val="4"/>
          <w:numId w:val="5"/>
        </w:numPr>
        <w:ind w:left="993" w:hanging="426"/>
        <w:contextualSpacing/>
        <w:rPr>
          <w:rFonts w:cs="Arial"/>
        </w:rPr>
      </w:pPr>
      <w:r w:rsidRPr="006B0BEF">
        <w:rPr>
          <w:rFonts w:cs="Arial"/>
        </w:rPr>
        <w:t>Flexible, para postular al menos el veinticinco por ciento de las candidaturas en un mismo proceso electoral federal o local, bajo una misma plataforma electoral.</w:t>
      </w:r>
    </w:p>
    <w:p w:rsidR="00E635D6" w:rsidRPr="00506277" w:rsidRDefault="00E635D6" w:rsidP="00E635D6">
      <w:pPr>
        <w:ind w:left="567"/>
        <w:jc w:val="both"/>
        <w:rPr>
          <w:rFonts w:ascii="Arial" w:hAnsi="Arial" w:cs="Arial"/>
          <w:sz w:val="16"/>
          <w:szCs w:val="16"/>
        </w:rPr>
      </w:pPr>
    </w:p>
    <w:p w:rsidR="00E635D6" w:rsidRPr="006B0BEF" w:rsidRDefault="00E635D6" w:rsidP="00E635D6">
      <w:pPr>
        <w:ind w:left="567"/>
        <w:jc w:val="both"/>
        <w:rPr>
          <w:rFonts w:ascii="Arial" w:hAnsi="Arial" w:cs="Arial"/>
          <w:spacing w:val="-2"/>
        </w:rPr>
      </w:pPr>
      <w:r w:rsidRPr="006B0BEF">
        <w:rPr>
          <w:rFonts w:ascii="Arial" w:hAnsi="Arial" w:cs="Arial"/>
          <w:spacing w:val="-2"/>
        </w:rPr>
        <w:t xml:space="preserve">En ese contexto, este Comité de Radio y Televisión estima que la postulación conjunta bajo una misma plataforma electoral para los cargos de elección popular de </w:t>
      </w:r>
      <w:r w:rsidR="001D71CD" w:rsidRPr="006B0BEF">
        <w:rPr>
          <w:rFonts w:ascii="Arial" w:hAnsi="Arial" w:cs="Arial"/>
          <w:spacing w:val="-2"/>
        </w:rPr>
        <w:t>dieciocho candidaturas para</w:t>
      </w:r>
      <w:r w:rsidRPr="006B0BEF">
        <w:rPr>
          <w:rFonts w:ascii="Arial" w:hAnsi="Arial" w:cs="Arial"/>
          <w:spacing w:val="-2"/>
        </w:rPr>
        <w:t xml:space="preserve"> Diputados Locales por e</w:t>
      </w:r>
      <w:r w:rsidR="002D25B6" w:rsidRPr="006B0BEF">
        <w:rPr>
          <w:rFonts w:ascii="Arial" w:hAnsi="Arial" w:cs="Arial"/>
          <w:spacing w:val="-2"/>
        </w:rPr>
        <w:t xml:space="preserve">l principio de mayoría relativa </w:t>
      </w:r>
      <w:r w:rsidRPr="006B0BEF">
        <w:rPr>
          <w:rFonts w:ascii="Arial" w:hAnsi="Arial" w:cs="Arial"/>
          <w:spacing w:val="-2"/>
        </w:rPr>
        <w:t xml:space="preserve">en el estado de </w:t>
      </w:r>
      <w:r w:rsidR="00483A4A" w:rsidRPr="006B0BEF">
        <w:rPr>
          <w:rFonts w:ascii="Arial" w:hAnsi="Arial" w:cs="Arial"/>
          <w:spacing w:val="-2"/>
        </w:rPr>
        <w:t>Aguascalientes</w:t>
      </w:r>
      <w:r w:rsidRPr="006B0BEF">
        <w:rPr>
          <w:rFonts w:ascii="Arial" w:hAnsi="Arial" w:cs="Arial"/>
          <w:spacing w:val="-2"/>
        </w:rPr>
        <w:t>, deberá ser considerada como una coalición total.</w:t>
      </w:r>
    </w:p>
    <w:p w:rsidR="00E635D6" w:rsidRPr="006B0BEF" w:rsidRDefault="00E635D6" w:rsidP="00E635D6">
      <w:pPr>
        <w:jc w:val="both"/>
        <w:rPr>
          <w:rFonts w:ascii="Arial" w:hAnsi="Arial" w:cs="Arial"/>
        </w:rPr>
      </w:pPr>
    </w:p>
    <w:p w:rsidR="00E635D6" w:rsidRPr="006B0BEF" w:rsidRDefault="00E635D6" w:rsidP="00E635D6">
      <w:pPr>
        <w:numPr>
          <w:ilvl w:val="0"/>
          <w:numId w:val="4"/>
        </w:numPr>
        <w:tabs>
          <w:tab w:val="num" w:pos="567"/>
        </w:tabs>
        <w:ind w:left="567" w:hanging="567"/>
        <w:jc w:val="both"/>
        <w:rPr>
          <w:rFonts w:ascii="Arial" w:hAnsi="Arial" w:cs="Arial"/>
        </w:rPr>
      </w:pPr>
      <w:r w:rsidRPr="006B0BEF">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En cambio, para el setenta por ciento </w:t>
      </w:r>
      <w:proofErr w:type="gramStart"/>
      <w:r w:rsidRPr="006B0BEF">
        <w:rPr>
          <w:rFonts w:ascii="Arial" w:hAnsi="Arial" w:cs="Arial"/>
        </w:rPr>
        <w:t>restante</w:t>
      </w:r>
      <w:proofErr w:type="gramEnd"/>
      <w:r w:rsidRPr="006B0BEF">
        <w:rPr>
          <w:rFonts w:ascii="Arial" w:hAnsi="Arial" w:cs="Arial"/>
        </w:rPr>
        <w:t xml:space="preserve">, los partidos políticos que conforman la coalición total </w:t>
      </w:r>
      <w:r w:rsidR="00F06251">
        <w:rPr>
          <w:rFonts w:ascii="Arial" w:hAnsi="Arial" w:cs="Arial"/>
        </w:rPr>
        <w:t>participarán de dicho porcentaje en forma individual</w:t>
      </w:r>
      <w:r w:rsidRPr="006B0BEF">
        <w:rPr>
          <w:rFonts w:ascii="Arial" w:hAnsi="Arial" w:cs="Arial"/>
        </w:rPr>
        <w:t xml:space="preserve">. En el supuesto de coaliciones totales, el convenio de coalición establecerá la distribución de dicho tiempo entre los candidatos de la coalición. </w:t>
      </w:r>
    </w:p>
    <w:p w:rsidR="00E635D6" w:rsidRPr="00506277" w:rsidRDefault="00E635D6" w:rsidP="00E635D6">
      <w:pPr>
        <w:ind w:left="567"/>
        <w:jc w:val="both"/>
        <w:rPr>
          <w:rFonts w:ascii="Arial" w:hAnsi="Arial" w:cs="Arial"/>
          <w:sz w:val="16"/>
          <w:szCs w:val="16"/>
        </w:rPr>
      </w:pPr>
    </w:p>
    <w:p w:rsidR="00E635D6" w:rsidRPr="006B0BEF" w:rsidRDefault="00E635D6" w:rsidP="00E635D6">
      <w:pPr>
        <w:ind w:left="567"/>
        <w:jc w:val="both"/>
        <w:rPr>
          <w:rFonts w:ascii="Arial" w:hAnsi="Arial" w:cs="Arial"/>
        </w:rPr>
      </w:pPr>
      <w:r w:rsidRPr="006B0BEF">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E635D6" w:rsidRPr="00506277" w:rsidRDefault="00E635D6" w:rsidP="009C575B">
      <w:pPr>
        <w:jc w:val="both"/>
        <w:rPr>
          <w:rFonts w:ascii="Arial" w:hAnsi="Arial" w:cs="Arial"/>
          <w:sz w:val="10"/>
          <w:szCs w:val="10"/>
        </w:rPr>
      </w:pPr>
    </w:p>
    <w:p w:rsidR="009C575B" w:rsidRPr="00506277" w:rsidRDefault="009C575B" w:rsidP="009C575B">
      <w:pPr>
        <w:numPr>
          <w:ilvl w:val="0"/>
          <w:numId w:val="4"/>
        </w:numPr>
        <w:ind w:left="567" w:hanging="567"/>
        <w:jc w:val="both"/>
        <w:rPr>
          <w:rFonts w:ascii="Arial" w:hAnsi="Arial" w:cs="Arial"/>
          <w:spacing w:val="-2"/>
        </w:rPr>
      </w:pPr>
      <w:r w:rsidRPr="00506277">
        <w:rPr>
          <w:rFonts w:ascii="Arial" w:hAnsi="Arial" w:cs="Arial"/>
          <w:spacing w:val="-2"/>
        </w:rPr>
        <w:lastRenderedPageBreak/>
        <w:t>De conformid</w:t>
      </w:r>
      <w:r w:rsidR="002C1022" w:rsidRPr="00506277">
        <w:rPr>
          <w:rFonts w:ascii="Arial" w:hAnsi="Arial" w:cs="Arial"/>
          <w:spacing w:val="-2"/>
        </w:rPr>
        <w:t>ad con los</w:t>
      </w:r>
      <w:r w:rsidR="00F6192A" w:rsidRPr="00506277">
        <w:rPr>
          <w:rFonts w:ascii="Arial" w:hAnsi="Arial" w:cs="Arial"/>
          <w:spacing w:val="-2"/>
        </w:rPr>
        <w:t xml:space="preserve"> artículo</w:t>
      </w:r>
      <w:r w:rsidR="002C1022" w:rsidRPr="00506277">
        <w:rPr>
          <w:rFonts w:ascii="Arial" w:hAnsi="Arial" w:cs="Arial"/>
          <w:spacing w:val="-2"/>
        </w:rPr>
        <w:t>s</w:t>
      </w:r>
      <w:r w:rsidR="00F6192A" w:rsidRPr="00506277">
        <w:rPr>
          <w:rFonts w:ascii="Arial" w:hAnsi="Arial" w:cs="Arial"/>
          <w:spacing w:val="-2"/>
        </w:rPr>
        <w:t xml:space="preserve"> 91, numeral 3 </w:t>
      </w:r>
      <w:r w:rsidRPr="00506277">
        <w:rPr>
          <w:rFonts w:ascii="Arial" w:hAnsi="Arial" w:cs="Arial"/>
          <w:spacing w:val="-2"/>
        </w:rPr>
        <w:t>de la Le</w:t>
      </w:r>
      <w:r w:rsidR="00F6192A" w:rsidRPr="00506277">
        <w:rPr>
          <w:rFonts w:ascii="Arial" w:hAnsi="Arial" w:cs="Arial"/>
          <w:spacing w:val="-2"/>
        </w:rPr>
        <w:t xml:space="preserve">y General de Partidos Políticos y 276, numeral 3, inciso j) del Reglamento de Elecciones, </w:t>
      </w:r>
      <w:r w:rsidRPr="00506277">
        <w:rPr>
          <w:rFonts w:ascii="Arial" w:hAnsi="Arial" w:cs="Arial"/>
          <w:spacing w:val="-2"/>
        </w:rPr>
        <w:t>para el seguimiento y administración de lo concerniente a la prerrogativa de acceso al tiempo en radio y televisión, los integrantes de la coalición designaron al representante del Partido Acción Nacional, ante el Comité de Radio y Televisión del Instituto Nacional Electoral, como responsable de la entrega de los materiales que deberán transmitirse en radio y televisión.</w:t>
      </w:r>
    </w:p>
    <w:p w:rsidR="009C575B" w:rsidRPr="006B0BEF" w:rsidRDefault="009C575B" w:rsidP="009C575B">
      <w:pPr>
        <w:jc w:val="both"/>
        <w:rPr>
          <w:rFonts w:ascii="Arial" w:hAnsi="Arial" w:cs="Arial"/>
        </w:rPr>
      </w:pPr>
    </w:p>
    <w:p w:rsidR="00E635D6" w:rsidRPr="006B0BEF" w:rsidRDefault="009C575B" w:rsidP="00E635D6">
      <w:pPr>
        <w:numPr>
          <w:ilvl w:val="0"/>
          <w:numId w:val="4"/>
        </w:numPr>
        <w:ind w:left="567" w:hanging="567"/>
        <w:jc w:val="both"/>
        <w:rPr>
          <w:rFonts w:ascii="Arial" w:hAnsi="Arial" w:cs="Arial"/>
          <w:color w:val="000000"/>
        </w:rPr>
      </w:pPr>
      <w:r w:rsidRPr="006B0BEF">
        <w:rPr>
          <w:rFonts w:ascii="Arial" w:hAnsi="Arial" w:cs="Arial"/>
          <w:color w:val="000000"/>
        </w:rPr>
        <w:t>Como</w:t>
      </w:r>
      <w:r w:rsidR="00E635D6" w:rsidRPr="006B0BEF">
        <w:rPr>
          <w:rFonts w:ascii="Arial" w:hAnsi="Arial" w:cs="Arial"/>
          <w:color w:val="000000"/>
        </w:rPr>
        <w:t xml:space="preserve"> lo señala el artículo 15, numerales 11 y 12, del Reglamento de Radio y Televisión en Materia Electoral, en caso de que existan fracciones sobrantes, éstas serán entregadas al Instituto para efectos de lo previsto en el numeral 5 del artículo 168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y permita incrementar el número de mensajes de forma igualitaria a todos los partidos o coaliciones contendientes.</w:t>
      </w:r>
    </w:p>
    <w:p w:rsidR="00E635D6" w:rsidRPr="006B0BEF" w:rsidRDefault="00E635D6" w:rsidP="00E635D6">
      <w:pPr>
        <w:ind w:left="567"/>
        <w:jc w:val="both"/>
        <w:rPr>
          <w:rFonts w:ascii="Arial" w:hAnsi="Arial" w:cs="Arial"/>
          <w:color w:val="000000"/>
        </w:rPr>
      </w:pP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E635D6" w:rsidRPr="006B0BEF" w:rsidRDefault="00E635D6" w:rsidP="00E635D6">
      <w:pPr>
        <w:ind w:left="567"/>
        <w:jc w:val="both"/>
        <w:rPr>
          <w:rFonts w:ascii="Arial" w:hAnsi="Arial" w:cs="Arial"/>
          <w:color w:val="000000"/>
        </w:rPr>
      </w:pPr>
    </w:p>
    <w:p w:rsidR="00E635D6" w:rsidRPr="006B0BEF" w:rsidRDefault="00E635D6" w:rsidP="00E635D6">
      <w:pPr>
        <w:numPr>
          <w:ilvl w:val="0"/>
          <w:numId w:val="4"/>
        </w:numPr>
        <w:ind w:left="567" w:hanging="567"/>
        <w:jc w:val="both"/>
        <w:rPr>
          <w:rFonts w:ascii="Arial" w:hAnsi="Arial" w:cs="Arial"/>
          <w:color w:val="000000"/>
          <w:spacing w:val="-2"/>
        </w:rPr>
      </w:pPr>
      <w:r w:rsidRPr="006B0BEF">
        <w:rPr>
          <w:rFonts w:ascii="Arial" w:hAnsi="Arial" w:cs="Arial"/>
          <w:color w:val="000000"/>
          <w:spacing w:val="-2"/>
        </w:rPr>
        <w:t>Conforme al Acuerdo señalado en los antecedentes del presente instrumento, el Instituto</w:t>
      </w:r>
      <w:r w:rsidR="00483A4A" w:rsidRPr="006B0BEF">
        <w:rPr>
          <w:rFonts w:ascii="Arial" w:hAnsi="Arial" w:cs="Arial"/>
          <w:color w:val="000000"/>
          <w:spacing w:val="-2"/>
        </w:rPr>
        <w:t xml:space="preserve"> Estatal</w:t>
      </w:r>
      <w:r w:rsidRPr="006B0BEF">
        <w:rPr>
          <w:rFonts w:ascii="Arial" w:hAnsi="Arial" w:cs="Arial"/>
          <w:color w:val="000000"/>
          <w:spacing w:val="-2"/>
        </w:rPr>
        <w:t xml:space="preserve"> Electoral</w:t>
      </w:r>
      <w:r w:rsidR="00483A4A" w:rsidRPr="006B0BEF">
        <w:rPr>
          <w:rFonts w:ascii="Arial" w:hAnsi="Arial" w:cs="Arial"/>
          <w:color w:val="000000"/>
          <w:spacing w:val="-2"/>
        </w:rPr>
        <w:t xml:space="preserve"> </w:t>
      </w:r>
      <w:r w:rsidR="00AA0AC8" w:rsidRPr="006B0BEF">
        <w:rPr>
          <w:rFonts w:ascii="Arial" w:hAnsi="Arial" w:cs="Arial"/>
          <w:color w:val="000000"/>
          <w:spacing w:val="-2"/>
        </w:rPr>
        <w:t xml:space="preserve">de </w:t>
      </w:r>
      <w:r w:rsidR="00483A4A" w:rsidRPr="006B0BEF">
        <w:rPr>
          <w:rFonts w:ascii="Arial" w:hAnsi="Arial" w:cs="Arial"/>
          <w:color w:val="000000"/>
          <w:spacing w:val="-2"/>
        </w:rPr>
        <w:t>Aguascalientes</w:t>
      </w:r>
      <w:r w:rsidRPr="006B0BEF">
        <w:rPr>
          <w:rFonts w:ascii="Arial" w:hAnsi="Arial" w:cs="Arial"/>
          <w:color w:val="000000"/>
          <w:spacing w:val="-2"/>
        </w:rPr>
        <w:t xml:space="preserve"> aprobó la solicitud de registro de la coalición total denominada “</w:t>
      </w:r>
      <w:r w:rsidR="00483A4A" w:rsidRPr="006B0BEF">
        <w:rPr>
          <w:rFonts w:ascii="Arial" w:hAnsi="Arial" w:cs="Arial"/>
          <w:color w:val="000000"/>
          <w:spacing w:val="-2"/>
        </w:rPr>
        <w:t>Por Aguascalientes</w:t>
      </w:r>
      <w:r w:rsidRPr="006B0BEF">
        <w:rPr>
          <w:rFonts w:ascii="Arial" w:hAnsi="Arial" w:cs="Arial"/>
          <w:color w:val="000000"/>
          <w:spacing w:val="-2"/>
        </w:rPr>
        <w:t xml:space="preserve"> al Frente”, integrada por los partidos políticos </w:t>
      </w:r>
      <w:r w:rsidRPr="006B0BEF">
        <w:rPr>
          <w:rFonts w:ascii="Arial" w:hAnsi="Arial" w:cs="Arial"/>
          <w:color w:val="000000"/>
        </w:rPr>
        <w:t>Acción Nacional, de la Revolución Democrática y Movimiento Ciudadano</w:t>
      </w:r>
      <w:r w:rsidR="00F06251">
        <w:rPr>
          <w:rFonts w:ascii="Arial" w:hAnsi="Arial" w:cs="Arial"/>
          <w:color w:val="000000"/>
          <w:spacing w:val="-2"/>
        </w:rPr>
        <w:t>, la cual</w:t>
      </w:r>
      <w:r w:rsidRPr="006B0BEF">
        <w:rPr>
          <w:rFonts w:ascii="Arial" w:hAnsi="Arial" w:cs="Arial"/>
          <w:color w:val="000000"/>
          <w:spacing w:val="-2"/>
        </w:rPr>
        <w:t xml:space="preserve"> </w:t>
      </w:r>
      <w:r w:rsidRPr="006B0BEF">
        <w:rPr>
          <w:rFonts w:ascii="Arial" w:hAnsi="Arial" w:cs="Arial"/>
        </w:rPr>
        <w:t>tendrá vigencia a partir del día de su aprobación.</w:t>
      </w:r>
    </w:p>
    <w:p w:rsidR="00E635D6" w:rsidRPr="006B0BEF" w:rsidRDefault="00E635D6" w:rsidP="00E635D6">
      <w:pPr>
        <w:ind w:left="567"/>
        <w:jc w:val="both"/>
        <w:rPr>
          <w:rFonts w:ascii="Arial" w:hAnsi="Arial" w:cs="Arial"/>
          <w:color w:val="000000"/>
          <w:spacing w:val="-2"/>
        </w:rPr>
      </w:pP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rPr>
        <w:t xml:space="preserve">Por tal motivo, y con fundamento en lo dispuesto en el artículo 6, numeral 2, inciso b) del Reglamento de la materia, con la finalidad de garantizar su acceso en radio y televisión durante la precampaña del proceso electoral local que se lleva a cabo en el estado de </w:t>
      </w:r>
      <w:r w:rsidR="00483A4A" w:rsidRPr="006B0BEF">
        <w:rPr>
          <w:rFonts w:ascii="Arial" w:hAnsi="Arial" w:cs="Arial"/>
        </w:rPr>
        <w:t>Aguascalientes</w:t>
      </w:r>
      <w:r w:rsidRPr="006B0BEF">
        <w:rPr>
          <w:rFonts w:ascii="Arial" w:hAnsi="Arial" w:cs="Arial"/>
        </w:rPr>
        <w:t xml:space="preserve">, este Comité de Radio y Televisión considera preciso modificar las pautas </w:t>
      </w:r>
      <w:r w:rsidRPr="006B0BEF">
        <w:rPr>
          <w:rFonts w:ascii="Arial" w:hAnsi="Arial" w:cs="Arial"/>
          <w:color w:val="000000"/>
        </w:rPr>
        <w:t xml:space="preserve">aprobadas mediante el Acuerdo identificado con la clave </w:t>
      </w:r>
      <w:r w:rsidR="00483A4A" w:rsidRPr="006B0BEF">
        <w:rPr>
          <w:rFonts w:ascii="Arial" w:hAnsi="Arial" w:cs="Arial"/>
          <w:color w:val="000000"/>
        </w:rPr>
        <w:t>INE/ACRT/40</w:t>
      </w:r>
      <w:r w:rsidRPr="006B0BEF">
        <w:rPr>
          <w:rFonts w:ascii="Arial" w:hAnsi="Arial" w:cs="Arial"/>
          <w:color w:val="000000"/>
        </w:rPr>
        <w:t>/2017, exclusivamente en lo correspondiente al treinta por ciento que se distribuye en forma igualitaria entre los partidos políticos, para que en la nueva distribución sea considerada la coalición, como un solo instituto político.</w:t>
      </w:r>
      <w:r w:rsidRPr="006B0BEF">
        <w:rPr>
          <w:rFonts w:ascii="Arial" w:hAnsi="Arial" w:cs="Arial"/>
        </w:rPr>
        <w:t xml:space="preserve"> </w:t>
      </w:r>
    </w:p>
    <w:p w:rsidR="00E635D6" w:rsidRPr="006B0BEF" w:rsidRDefault="00E635D6" w:rsidP="00E635D6">
      <w:pPr>
        <w:tabs>
          <w:tab w:val="num" w:pos="709"/>
          <w:tab w:val="num" w:pos="11341"/>
        </w:tabs>
        <w:autoSpaceDE w:val="0"/>
        <w:autoSpaceDN w:val="0"/>
        <w:adjustRightInd w:val="0"/>
        <w:contextualSpacing/>
        <w:jc w:val="both"/>
        <w:rPr>
          <w:rFonts w:ascii="Arial" w:hAnsi="Arial" w:cs="Arial"/>
        </w:rPr>
      </w:pPr>
    </w:p>
    <w:p w:rsidR="00E635D6"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t xml:space="preserve">El acuerdo referido en los antecedentes del presente instrumento, establece la conformación de la coalición para el proceso electoral local. En ese tenor, de conformidad con lo dispuesto en los artículos 167, numerales 1 y 2 de la Ley General de Instituciones y Procedimientos Electorales, conviene señalar que el periodo de acceso a radio y televisión será del </w:t>
      </w:r>
      <w:r w:rsidR="002D25B6" w:rsidRPr="006B0BEF">
        <w:rPr>
          <w:rFonts w:ascii="Arial" w:hAnsi="Arial" w:cs="Arial"/>
          <w:color w:val="000000"/>
        </w:rPr>
        <w:t>ocho</w:t>
      </w:r>
      <w:r w:rsidRPr="006B0BEF">
        <w:rPr>
          <w:rFonts w:ascii="Arial" w:hAnsi="Arial" w:cs="Arial"/>
          <w:color w:val="000000"/>
        </w:rPr>
        <w:t xml:space="preserve"> al once de febrero de dos mil dieciocho que corresponde al periodo de precampaña.</w:t>
      </w:r>
      <w:r w:rsidR="00D94F37">
        <w:rPr>
          <w:rFonts w:ascii="Arial" w:hAnsi="Arial" w:cs="Arial"/>
          <w:color w:val="000000"/>
        </w:rPr>
        <w:t xml:space="preserve"> </w:t>
      </w:r>
    </w:p>
    <w:p w:rsidR="00D94F37" w:rsidRDefault="00D94F37" w:rsidP="00D94F37">
      <w:pPr>
        <w:ind w:left="567"/>
        <w:jc w:val="both"/>
        <w:rPr>
          <w:rFonts w:ascii="Arial" w:hAnsi="Arial" w:cs="Arial"/>
          <w:color w:val="000000"/>
        </w:rPr>
      </w:pPr>
      <w:r>
        <w:rPr>
          <w:rFonts w:ascii="Arial" w:hAnsi="Arial" w:cs="Arial"/>
          <w:color w:val="000000"/>
        </w:rPr>
        <w:lastRenderedPageBreak/>
        <w:t>Lo anterior, de conformidad con el calendario aprobado a través del acuerdo identificado como INE/ACRT/40/2017, que establece el límite de entrega de materiales y estrategias</w:t>
      </w:r>
      <w:r w:rsidR="00182C46">
        <w:rPr>
          <w:rFonts w:ascii="Arial" w:hAnsi="Arial" w:cs="Arial"/>
          <w:color w:val="000000"/>
        </w:rPr>
        <w:t>, además d</w:t>
      </w:r>
      <w:r>
        <w:rPr>
          <w:rFonts w:ascii="Arial" w:hAnsi="Arial" w:cs="Arial"/>
          <w:color w:val="000000"/>
        </w:rPr>
        <w:t xml:space="preserve">el plazo establecido en el artículo 36, numeral 3 del Reglamento, el cual, señala que </w:t>
      </w:r>
      <w:r w:rsidRPr="006B0BEF">
        <w:rPr>
          <w:rFonts w:ascii="Arial" w:hAnsi="Arial" w:cs="Arial"/>
          <w:color w:val="000000"/>
        </w:rPr>
        <w:t>la</w:t>
      </w:r>
      <w:r>
        <w:rPr>
          <w:rFonts w:ascii="Arial" w:hAnsi="Arial" w:cs="Arial"/>
          <w:color w:val="000000"/>
        </w:rPr>
        <w:t xml:space="preserve"> modificación de pautas </w:t>
      </w:r>
      <w:r w:rsidR="00C0044C">
        <w:rPr>
          <w:rFonts w:ascii="Arial" w:hAnsi="Arial" w:cs="Arial"/>
          <w:color w:val="000000"/>
        </w:rPr>
        <w:t>deberá ser notificada</w:t>
      </w:r>
      <w:r w:rsidRPr="006B0BEF">
        <w:rPr>
          <w:rFonts w:ascii="Arial" w:hAnsi="Arial" w:cs="Arial"/>
          <w:color w:val="000000"/>
        </w:rPr>
        <w:t xml:space="preserve"> con al menos cuatro días hábiles de anticipación a la fecha de inicio de transmisiones</w:t>
      </w:r>
      <w:r w:rsidR="00C0044C">
        <w:rPr>
          <w:rFonts w:ascii="Arial" w:hAnsi="Arial" w:cs="Arial"/>
          <w:color w:val="000000"/>
        </w:rPr>
        <w:t xml:space="preserve">, </w:t>
      </w:r>
      <w:r w:rsidR="00182C46">
        <w:rPr>
          <w:rFonts w:ascii="Arial" w:hAnsi="Arial" w:cs="Arial"/>
          <w:color w:val="000000"/>
        </w:rPr>
        <w:t>toda vez que la próxima orden de transmisión se elaborará</w:t>
      </w:r>
      <w:r w:rsidR="00C0044C">
        <w:rPr>
          <w:rFonts w:ascii="Arial" w:hAnsi="Arial" w:cs="Arial"/>
          <w:color w:val="000000"/>
        </w:rPr>
        <w:t xml:space="preserve"> el dos de febrero de dos mil dieciocho, como a continuación se detalla:</w:t>
      </w:r>
    </w:p>
    <w:p w:rsidR="00D94F37" w:rsidRDefault="00D94F37" w:rsidP="00D94F37">
      <w:pPr>
        <w:ind w:left="567"/>
        <w:jc w:val="both"/>
        <w:rPr>
          <w:rFonts w:ascii="Arial" w:hAnsi="Arial" w:cs="Arial"/>
          <w:color w:val="000000"/>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D94F37" w:rsidRPr="00236010" w:rsidTr="00E913F3">
        <w:trPr>
          <w:trHeight w:val="765"/>
          <w:tblHeader/>
          <w:jc w:val="center"/>
        </w:trPr>
        <w:tc>
          <w:tcPr>
            <w:tcW w:w="760" w:type="dxa"/>
            <w:tcBorders>
              <w:top w:val="nil"/>
              <w:left w:val="nil"/>
              <w:bottom w:val="nil"/>
              <w:right w:val="nil"/>
            </w:tcBorders>
            <w:shd w:val="clear" w:color="000000" w:fill="C00000"/>
            <w:noWrap/>
            <w:vAlign w:val="center"/>
            <w:hideMark/>
          </w:tcPr>
          <w:p w:rsidR="00D94F37" w:rsidRPr="00236010" w:rsidRDefault="00D94F37"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D94F37" w:rsidRPr="00236010" w:rsidRDefault="00D94F37"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D94F37" w:rsidRPr="00236010" w:rsidRDefault="00D94F37"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D94F37" w:rsidRPr="00236010" w:rsidRDefault="00D94F37"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D94F37" w:rsidRPr="00236010" w:rsidRDefault="00D94F37" w:rsidP="00E913F3">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Vigencia de la OT</w:t>
            </w:r>
          </w:p>
        </w:tc>
      </w:tr>
      <w:tr w:rsidR="00D94F37" w:rsidRPr="00236010" w:rsidTr="00E913F3">
        <w:trPr>
          <w:trHeight w:val="315"/>
          <w:jc w:val="center"/>
        </w:trPr>
        <w:tc>
          <w:tcPr>
            <w:tcW w:w="760" w:type="dxa"/>
            <w:tcBorders>
              <w:top w:val="nil"/>
              <w:left w:val="nil"/>
              <w:bottom w:val="nil"/>
              <w:right w:val="nil"/>
            </w:tcBorders>
            <w:shd w:val="clear" w:color="000000" w:fill="D9D9D9"/>
            <w:noWrap/>
            <w:vAlign w:val="center"/>
            <w:hideMark/>
          </w:tcPr>
          <w:p w:rsidR="00D94F37" w:rsidRPr="00236010" w:rsidRDefault="00D94F37" w:rsidP="00E913F3">
            <w:pPr>
              <w:jc w:val="center"/>
              <w:rPr>
                <w:rFonts w:ascii="Calibri" w:hAnsi="Calibri"/>
                <w:color w:val="000000"/>
                <w:sz w:val="20"/>
                <w:szCs w:val="20"/>
                <w:lang w:val="es-MX" w:eastAsia="es-MX"/>
              </w:rPr>
            </w:pPr>
            <w:r>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D94F37" w:rsidRPr="00236010" w:rsidRDefault="00D94F37"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D94F37" w:rsidRPr="00236010" w:rsidRDefault="00D94F37"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D94F37" w:rsidRPr="00236010" w:rsidRDefault="00D94F37"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D94F37" w:rsidRPr="00236010" w:rsidRDefault="00D94F37"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al 10 de febrero</w:t>
            </w:r>
          </w:p>
        </w:tc>
      </w:tr>
      <w:tr w:rsidR="00D94F37" w:rsidRPr="00236010" w:rsidTr="00E913F3">
        <w:trPr>
          <w:trHeight w:val="315"/>
          <w:jc w:val="center"/>
        </w:trPr>
        <w:tc>
          <w:tcPr>
            <w:tcW w:w="760" w:type="dxa"/>
            <w:tcBorders>
              <w:top w:val="nil"/>
              <w:left w:val="nil"/>
              <w:bottom w:val="nil"/>
              <w:right w:val="nil"/>
            </w:tcBorders>
            <w:shd w:val="clear" w:color="auto" w:fill="auto"/>
            <w:noWrap/>
            <w:vAlign w:val="center"/>
            <w:hideMark/>
          </w:tcPr>
          <w:p w:rsidR="00D94F37" w:rsidRPr="00236010" w:rsidRDefault="00D94F37" w:rsidP="00E913F3">
            <w:pPr>
              <w:jc w:val="center"/>
              <w:rPr>
                <w:rFonts w:ascii="Calibri" w:hAnsi="Calibri"/>
                <w:color w:val="000000"/>
                <w:sz w:val="20"/>
                <w:szCs w:val="20"/>
                <w:lang w:val="es-MX" w:eastAsia="es-MX"/>
              </w:rPr>
            </w:pPr>
            <w:r>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D94F37" w:rsidRPr="00236010" w:rsidRDefault="00D94F37"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D94F37" w:rsidRPr="00236010" w:rsidRDefault="00D94F37"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D94F37" w:rsidRPr="00236010" w:rsidRDefault="00D94F37"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D94F37" w:rsidRPr="00236010" w:rsidRDefault="00D94F37" w:rsidP="00E913F3">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11 de febrero</w:t>
            </w:r>
          </w:p>
        </w:tc>
      </w:tr>
    </w:tbl>
    <w:p w:rsidR="00E635D6" w:rsidRPr="006B0BEF" w:rsidRDefault="00D94F37" w:rsidP="00182C46">
      <w:pPr>
        <w:ind w:left="567"/>
        <w:jc w:val="both"/>
        <w:rPr>
          <w:rFonts w:ascii="Arial" w:hAnsi="Arial" w:cs="Arial"/>
          <w:color w:val="000000"/>
        </w:rPr>
      </w:pPr>
      <w:r>
        <w:rPr>
          <w:rFonts w:ascii="Arial" w:hAnsi="Arial" w:cs="Arial"/>
          <w:color w:val="000000"/>
        </w:rPr>
        <w:t xml:space="preserve"> </w:t>
      </w: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t xml:space="preserve">Con base en los puntos considerativos previos, los mensajes correspondientes a las etapas de precampaña federal y local se distribuirán conforme a lo siguiente: </w:t>
      </w:r>
    </w:p>
    <w:p w:rsidR="00E635D6" w:rsidRPr="006B0BEF" w:rsidRDefault="00E635D6" w:rsidP="00E635D6">
      <w:pPr>
        <w:ind w:left="567"/>
        <w:jc w:val="both"/>
        <w:rPr>
          <w:rFonts w:ascii="Arial" w:hAnsi="Arial" w:cs="Arial"/>
          <w:color w:val="000000"/>
        </w:rPr>
      </w:pPr>
    </w:p>
    <w:tbl>
      <w:tblPr>
        <w:tblW w:w="5000" w:type="pct"/>
        <w:tblCellMar>
          <w:left w:w="70" w:type="dxa"/>
          <w:right w:w="70" w:type="dxa"/>
        </w:tblCellMar>
        <w:tblLook w:val="04A0" w:firstRow="1" w:lastRow="0" w:firstColumn="1" w:lastColumn="0" w:noHBand="0" w:noVBand="1"/>
      </w:tblPr>
      <w:tblGrid>
        <w:gridCol w:w="1513"/>
        <w:gridCol w:w="1217"/>
        <w:gridCol w:w="1548"/>
        <w:gridCol w:w="1295"/>
        <w:gridCol w:w="1295"/>
        <w:gridCol w:w="1548"/>
        <w:gridCol w:w="1546"/>
      </w:tblGrid>
      <w:tr w:rsidR="00E635D6" w:rsidRPr="006B0BEF" w:rsidTr="009E6BF9">
        <w:trPr>
          <w:trHeight w:val="576"/>
          <w:tblHeader/>
        </w:trPr>
        <w:tc>
          <w:tcPr>
            <w:tcW w:w="75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635D6" w:rsidRPr="006B0BEF" w:rsidRDefault="00E635D6" w:rsidP="009E6BF9">
            <w:pPr>
              <w:jc w:val="center"/>
              <w:rPr>
                <w:rFonts w:ascii="Calibri" w:hAnsi="Calibri"/>
                <w:b/>
                <w:color w:val="000000"/>
                <w:sz w:val="20"/>
                <w:szCs w:val="20"/>
                <w:lang w:eastAsia="es-MX"/>
              </w:rPr>
            </w:pPr>
            <w:r w:rsidRPr="006B0BEF">
              <w:rPr>
                <w:rFonts w:ascii="Calibri" w:hAnsi="Calibri"/>
                <w:b/>
                <w:color w:val="000000"/>
                <w:sz w:val="20"/>
                <w:szCs w:val="20"/>
                <w:lang w:eastAsia="es-MX"/>
              </w:rPr>
              <w:t>Etapa</w:t>
            </w:r>
          </w:p>
        </w:tc>
        <w:tc>
          <w:tcPr>
            <w:tcW w:w="61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635D6" w:rsidRPr="006B0BEF" w:rsidRDefault="00E635D6" w:rsidP="009E6BF9">
            <w:pPr>
              <w:jc w:val="center"/>
              <w:rPr>
                <w:rFonts w:ascii="Calibri" w:hAnsi="Calibri"/>
                <w:b/>
                <w:color w:val="000000"/>
                <w:sz w:val="20"/>
                <w:szCs w:val="20"/>
                <w:lang w:eastAsia="es-MX"/>
              </w:rPr>
            </w:pPr>
            <w:r w:rsidRPr="006B0BEF">
              <w:rPr>
                <w:rFonts w:ascii="Calibri" w:hAnsi="Calibri"/>
                <w:b/>
                <w:color w:val="000000"/>
                <w:sz w:val="20"/>
                <w:szCs w:val="20"/>
                <w:lang w:eastAsia="es-MX"/>
              </w:rPr>
              <w:t>Periodo</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635D6" w:rsidRPr="006B0BEF" w:rsidRDefault="00E635D6" w:rsidP="009E6BF9">
            <w:pPr>
              <w:jc w:val="center"/>
              <w:rPr>
                <w:rFonts w:ascii="Calibri" w:hAnsi="Calibri"/>
                <w:b/>
                <w:color w:val="000000"/>
                <w:sz w:val="20"/>
                <w:szCs w:val="20"/>
                <w:lang w:eastAsia="es-MX"/>
              </w:rPr>
            </w:pPr>
            <w:r w:rsidRPr="006B0BEF">
              <w:rPr>
                <w:rFonts w:ascii="Calibri" w:hAnsi="Calibri"/>
                <w:b/>
                <w:color w:val="000000"/>
                <w:sz w:val="20"/>
                <w:szCs w:val="20"/>
                <w:lang w:eastAsia="es-MX"/>
              </w:rPr>
              <w:t>Promocionales a distribuir</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635D6" w:rsidRPr="006B0BEF" w:rsidRDefault="00E635D6" w:rsidP="009E6BF9">
            <w:pPr>
              <w:jc w:val="center"/>
              <w:rPr>
                <w:rFonts w:ascii="Calibri" w:hAnsi="Calibri"/>
                <w:b/>
                <w:color w:val="000000"/>
                <w:sz w:val="20"/>
                <w:szCs w:val="20"/>
                <w:lang w:eastAsia="es-MX"/>
              </w:rPr>
            </w:pPr>
            <w:r w:rsidRPr="006B0BEF">
              <w:rPr>
                <w:rFonts w:ascii="Calibri" w:hAnsi="Calibri"/>
                <w:b/>
                <w:color w:val="000000"/>
                <w:sz w:val="20"/>
                <w:szCs w:val="20"/>
                <w:lang w:eastAsia="es-MX"/>
              </w:rPr>
              <w:t>Distribución igualitaria</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635D6" w:rsidRPr="006B0BEF" w:rsidRDefault="00E635D6" w:rsidP="009E6BF9">
            <w:pPr>
              <w:jc w:val="center"/>
              <w:rPr>
                <w:rFonts w:ascii="Calibri" w:hAnsi="Calibri"/>
                <w:b/>
                <w:color w:val="000000"/>
                <w:sz w:val="20"/>
                <w:szCs w:val="20"/>
                <w:lang w:eastAsia="es-MX"/>
              </w:rPr>
            </w:pPr>
            <w:r w:rsidRPr="006B0BEF">
              <w:rPr>
                <w:rFonts w:ascii="Calibri" w:hAnsi="Calibri"/>
                <w:b/>
                <w:color w:val="000000"/>
                <w:sz w:val="20"/>
                <w:szCs w:val="20"/>
                <w:lang w:eastAsia="es-MX"/>
              </w:rPr>
              <w:t>Distribución por porcentaje de votos</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635D6" w:rsidRPr="006B0BEF" w:rsidRDefault="00E635D6" w:rsidP="009E6BF9">
            <w:pPr>
              <w:jc w:val="center"/>
              <w:rPr>
                <w:rFonts w:ascii="Calibri" w:hAnsi="Calibri"/>
                <w:b/>
                <w:color w:val="000000"/>
                <w:sz w:val="20"/>
                <w:szCs w:val="20"/>
                <w:lang w:eastAsia="es-MX"/>
              </w:rPr>
            </w:pPr>
            <w:r w:rsidRPr="006B0BEF">
              <w:rPr>
                <w:rFonts w:ascii="Calibri" w:hAnsi="Calibri"/>
                <w:b/>
                <w:color w:val="000000"/>
                <w:sz w:val="20"/>
                <w:szCs w:val="20"/>
                <w:lang w:eastAsia="es-MX"/>
              </w:rPr>
              <w:t>Promocionales restantes asignados a la autoridad</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tcPr>
          <w:p w:rsidR="00E635D6" w:rsidRPr="006B0BEF" w:rsidRDefault="00E635D6" w:rsidP="009E6BF9">
            <w:pPr>
              <w:jc w:val="center"/>
              <w:rPr>
                <w:rFonts w:ascii="Calibri" w:hAnsi="Calibri"/>
                <w:b/>
                <w:color w:val="000000"/>
                <w:sz w:val="20"/>
                <w:szCs w:val="20"/>
                <w:lang w:eastAsia="es-MX"/>
              </w:rPr>
            </w:pPr>
            <w:r w:rsidRPr="006B0BEF">
              <w:rPr>
                <w:rFonts w:ascii="Calibri" w:hAnsi="Calibri"/>
                <w:b/>
                <w:color w:val="000000"/>
                <w:sz w:val="20"/>
                <w:szCs w:val="20"/>
                <w:lang w:eastAsia="es-MX"/>
              </w:rPr>
              <w:t>Promocionales agregados por cláusula de maximización</w:t>
            </w:r>
          </w:p>
        </w:tc>
      </w:tr>
      <w:tr w:rsidR="00E635D6" w:rsidRPr="006B0BEF" w:rsidTr="009E6BF9">
        <w:trPr>
          <w:trHeight w:val="288"/>
        </w:trPr>
        <w:tc>
          <w:tcPr>
            <w:tcW w:w="759" w:type="pct"/>
            <w:tcBorders>
              <w:top w:val="nil"/>
              <w:left w:val="single" w:sz="4" w:space="0" w:color="auto"/>
              <w:bottom w:val="single" w:sz="4" w:space="0" w:color="auto"/>
              <w:right w:val="single" w:sz="4" w:space="0" w:color="auto"/>
            </w:tcBorders>
            <w:shd w:val="clear" w:color="auto" w:fill="auto"/>
            <w:vAlign w:val="center"/>
            <w:hideMark/>
          </w:tcPr>
          <w:p w:rsidR="00E635D6" w:rsidRPr="006B0BEF" w:rsidRDefault="00E635D6" w:rsidP="009E6BF9">
            <w:pPr>
              <w:jc w:val="center"/>
              <w:rPr>
                <w:rFonts w:ascii="Calibri" w:hAnsi="Calibri"/>
                <w:color w:val="000000"/>
                <w:sz w:val="20"/>
                <w:szCs w:val="20"/>
                <w:lang w:eastAsia="es-MX"/>
              </w:rPr>
            </w:pPr>
            <w:r w:rsidRPr="006B0BEF">
              <w:rPr>
                <w:rFonts w:ascii="Calibri" w:hAnsi="Calibri"/>
                <w:color w:val="000000"/>
                <w:sz w:val="20"/>
                <w:szCs w:val="20"/>
                <w:lang w:eastAsia="es-MX"/>
              </w:rPr>
              <w:t>Precampaña local coincidente con la federal</w:t>
            </w:r>
          </w:p>
        </w:tc>
        <w:tc>
          <w:tcPr>
            <w:tcW w:w="611" w:type="pct"/>
            <w:tcBorders>
              <w:top w:val="nil"/>
              <w:left w:val="nil"/>
              <w:bottom w:val="single" w:sz="4" w:space="0" w:color="auto"/>
              <w:right w:val="single" w:sz="4" w:space="0" w:color="auto"/>
            </w:tcBorders>
            <w:shd w:val="clear" w:color="auto" w:fill="auto"/>
            <w:vAlign w:val="center"/>
          </w:tcPr>
          <w:p w:rsidR="00E635D6" w:rsidRPr="006B0BEF" w:rsidRDefault="002D25B6" w:rsidP="009E6BF9">
            <w:pPr>
              <w:jc w:val="center"/>
              <w:rPr>
                <w:rFonts w:ascii="Calibri" w:hAnsi="Calibri"/>
                <w:color w:val="000000"/>
                <w:sz w:val="20"/>
                <w:szCs w:val="20"/>
                <w:lang w:eastAsia="es-MX"/>
              </w:rPr>
            </w:pPr>
            <w:r w:rsidRPr="006B0BEF">
              <w:rPr>
                <w:rFonts w:ascii="Calibri" w:hAnsi="Calibri"/>
                <w:color w:val="000000"/>
                <w:sz w:val="20"/>
                <w:szCs w:val="20"/>
                <w:lang w:eastAsia="es-MX"/>
              </w:rPr>
              <w:t>8</w:t>
            </w:r>
            <w:r w:rsidR="00483A4A" w:rsidRPr="006B0BEF">
              <w:rPr>
                <w:rFonts w:ascii="Calibri" w:hAnsi="Calibri"/>
                <w:color w:val="000000"/>
                <w:sz w:val="20"/>
                <w:szCs w:val="20"/>
                <w:lang w:eastAsia="es-MX"/>
              </w:rPr>
              <w:t xml:space="preserve"> </w:t>
            </w:r>
            <w:r w:rsidR="00E635D6" w:rsidRPr="006B0BEF">
              <w:rPr>
                <w:rFonts w:ascii="Calibri" w:hAnsi="Calibri"/>
                <w:color w:val="000000"/>
                <w:sz w:val="20"/>
                <w:szCs w:val="20"/>
                <w:lang w:eastAsia="es-MX"/>
              </w:rPr>
              <w:t>al 11 de febrero de 2018</w:t>
            </w:r>
          </w:p>
        </w:tc>
        <w:tc>
          <w:tcPr>
            <w:tcW w:w="777" w:type="pct"/>
            <w:tcBorders>
              <w:top w:val="nil"/>
              <w:left w:val="nil"/>
              <w:bottom w:val="single" w:sz="4" w:space="0" w:color="auto"/>
              <w:right w:val="single" w:sz="4" w:space="0" w:color="auto"/>
            </w:tcBorders>
            <w:shd w:val="clear" w:color="auto" w:fill="auto"/>
            <w:vAlign w:val="center"/>
          </w:tcPr>
          <w:p w:rsidR="00E635D6" w:rsidRPr="006B0BEF" w:rsidRDefault="00DA7747" w:rsidP="009E6BF9">
            <w:pPr>
              <w:jc w:val="center"/>
              <w:rPr>
                <w:rFonts w:ascii="Calibri" w:hAnsi="Calibri"/>
                <w:color w:val="000000"/>
                <w:sz w:val="20"/>
                <w:szCs w:val="20"/>
                <w:lang w:eastAsia="es-MX"/>
              </w:rPr>
            </w:pPr>
            <w:r w:rsidRPr="006B0BEF">
              <w:rPr>
                <w:rFonts w:ascii="Calibri" w:hAnsi="Calibri"/>
                <w:color w:val="000000"/>
                <w:sz w:val="20"/>
                <w:szCs w:val="20"/>
                <w:lang w:eastAsia="es-MX"/>
              </w:rPr>
              <w:t>88</w:t>
            </w:r>
          </w:p>
        </w:tc>
        <w:tc>
          <w:tcPr>
            <w:tcW w:w="650" w:type="pct"/>
            <w:tcBorders>
              <w:top w:val="nil"/>
              <w:left w:val="nil"/>
              <w:bottom w:val="single" w:sz="4" w:space="0" w:color="auto"/>
              <w:right w:val="single" w:sz="4" w:space="0" w:color="auto"/>
            </w:tcBorders>
            <w:shd w:val="clear" w:color="auto" w:fill="auto"/>
            <w:vAlign w:val="center"/>
          </w:tcPr>
          <w:p w:rsidR="00E635D6" w:rsidRPr="006B0BEF" w:rsidRDefault="00DA7747" w:rsidP="009E6BF9">
            <w:pPr>
              <w:jc w:val="center"/>
              <w:rPr>
                <w:rFonts w:ascii="Calibri" w:hAnsi="Calibri"/>
                <w:color w:val="000000"/>
                <w:sz w:val="20"/>
                <w:szCs w:val="20"/>
                <w:lang w:eastAsia="es-MX"/>
              </w:rPr>
            </w:pPr>
            <w:r w:rsidRPr="006B0BEF">
              <w:rPr>
                <w:rFonts w:ascii="Calibri" w:hAnsi="Calibri"/>
                <w:color w:val="000000"/>
                <w:sz w:val="20"/>
                <w:szCs w:val="20"/>
                <w:lang w:eastAsia="es-MX"/>
              </w:rPr>
              <w:t>21</w:t>
            </w:r>
          </w:p>
        </w:tc>
        <w:tc>
          <w:tcPr>
            <w:tcW w:w="650" w:type="pct"/>
            <w:tcBorders>
              <w:top w:val="nil"/>
              <w:left w:val="nil"/>
              <w:bottom w:val="single" w:sz="4" w:space="0" w:color="auto"/>
              <w:right w:val="single" w:sz="4" w:space="0" w:color="auto"/>
            </w:tcBorders>
            <w:shd w:val="clear" w:color="auto" w:fill="auto"/>
            <w:vAlign w:val="center"/>
          </w:tcPr>
          <w:p w:rsidR="00E635D6" w:rsidRPr="006B0BEF" w:rsidRDefault="00DA7747" w:rsidP="009E6BF9">
            <w:pPr>
              <w:jc w:val="center"/>
              <w:rPr>
                <w:rFonts w:ascii="Calibri" w:hAnsi="Calibri"/>
                <w:color w:val="000000"/>
                <w:sz w:val="20"/>
                <w:szCs w:val="20"/>
                <w:lang w:eastAsia="es-MX"/>
              </w:rPr>
            </w:pPr>
            <w:r w:rsidRPr="006B0BEF">
              <w:rPr>
                <w:rFonts w:ascii="Calibri" w:hAnsi="Calibri"/>
                <w:color w:val="000000"/>
                <w:sz w:val="20"/>
                <w:szCs w:val="20"/>
                <w:lang w:eastAsia="es-MX"/>
              </w:rPr>
              <w:t>57</w:t>
            </w:r>
          </w:p>
        </w:tc>
        <w:tc>
          <w:tcPr>
            <w:tcW w:w="777" w:type="pct"/>
            <w:tcBorders>
              <w:top w:val="nil"/>
              <w:left w:val="nil"/>
              <w:bottom w:val="single" w:sz="4" w:space="0" w:color="auto"/>
              <w:right w:val="single" w:sz="4" w:space="0" w:color="auto"/>
            </w:tcBorders>
            <w:shd w:val="clear" w:color="auto" w:fill="auto"/>
            <w:vAlign w:val="center"/>
          </w:tcPr>
          <w:p w:rsidR="00E635D6" w:rsidRPr="006B0BEF" w:rsidRDefault="00DA7747" w:rsidP="009E6BF9">
            <w:pPr>
              <w:jc w:val="center"/>
              <w:rPr>
                <w:rFonts w:ascii="Calibri" w:hAnsi="Calibri"/>
                <w:color w:val="000000"/>
                <w:sz w:val="20"/>
                <w:szCs w:val="20"/>
                <w:lang w:eastAsia="es-MX"/>
              </w:rPr>
            </w:pPr>
            <w:r w:rsidRPr="006B0BEF">
              <w:rPr>
                <w:rFonts w:ascii="Calibri" w:hAnsi="Calibri"/>
                <w:color w:val="000000"/>
                <w:sz w:val="20"/>
                <w:szCs w:val="20"/>
                <w:lang w:eastAsia="es-MX"/>
              </w:rPr>
              <w:t>3</w:t>
            </w:r>
          </w:p>
        </w:tc>
        <w:tc>
          <w:tcPr>
            <w:tcW w:w="777" w:type="pct"/>
            <w:tcBorders>
              <w:top w:val="nil"/>
              <w:left w:val="nil"/>
              <w:bottom w:val="single" w:sz="4" w:space="0" w:color="auto"/>
              <w:right w:val="single" w:sz="4" w:space="0" w:color="auto"/>
            </w:tcBorders>
            <w:vAlign w:val="center"/>
          </w:tcPr>
          <w:p w:rsidR="00E635D6" w:rsidRPr="006B0BEF" w:rsidRDefault="00DA7747" w:rsidP="009E6BF9">
            <w:pPr>
              <w:jc w:val="center"/>
              <w:rPr>
                <w:rFonts w:ascii="Calibri" w:hAnsi="Calibri"/>
                <w:color w:val="000000"/>
                <w:sz w:val="20"/>
                <w:szCs w:val="20"/>
                <w:lang w:eastAsia="es-MX"/>
              </w:rPr>
            </w:pPr>
            <w:r w:rsidRPr="006B0BEF">
              <w:rPr>
                <w:rFonts w:ascii="Calibri" w:hAnsi="Calibri"/>
                <w:color w:val="000000"/>
                <w:sz w:val="20"/>
                <w:szCs w:val="20"/>
                <w:lang w:eastAsia="es-MX"/>
              </w:rPr>
              <w:t>7</w:t>
            </w:r>
          </w:p>
        </w:tc>
      </w:tr>
    </w:tbl>
    <w:p w:rsidR="00E635D6" w:rsidRPr="006B0BEF" w:rsidRDefault="00E635D6" w:rsidP="00E635D6">
      <w:pPr>
        <w:pStyle w:val="Prrafodelista"/>
        <w:autoSpaceDE w:val="0"/>
        <w:autoSpaceDN w:val="0"/>
        <w:adjustRightInd w:val="0"/>
        <w:ind w:left="0"/>
        <w:rPr>
          <w:rFonts w:cs="Arial"/>
        </w:rPr>
      </w:pPr>
    </w:p>
    <w:p w:rsidR="00E635D6" w:rsidRPr="006B0BEF" w:rsidRDefault="00E635D6" w:rsidP="00E635D6">
      <w:pPr>
        <w:ind w:left="709"/>
        <w:jc w:val="both"/>
        <w:rPr>
          <w:rFonts w:ascii="Arial" w:hAnsi="Arial" w:cs="Arial"/>
        </w:rPr>
      </w:pPr>
      <w:r w:rsidRPr="006B0BEF">
        <w:rPr>
          <w:rFonts w:ascii="Arial" w:hAnsi="Arial" w:cs="Arial"/>
        </w:rPr>
        <w:t>Enseguida se presenta la tabla descriptiva:</w:t>
      </w:r>
    </w:p>
    <w:p w:rsidR="00E635D6" w:rsidRPr="00182C46" w:rsidRDefault="00E635D6" w:rsidP="00E635D6">
      <w:pPr>
        <w:ind w:left="709"/>
        <w:jc w:val="both"/>
        <w:rPr>
          <w:rFonts w:ascii="Arial" w:hAnsi="Arial" w:cs="Arial"/>
          <w:sz w:val="16"/>
        </w:rPr>
      </w:pPr>
    </w:p>
    <w:p w:rsidR="00E635D6" w:rsidRPr="006B0BEF" w:rsidRDefault="00DA7747" w:rsidP="00E635D6">
      <w:pPr>
        <w:jc w:val="center"/>
        <w:rPr>
          <w:rFonts w:ascii="Arial" w:hAnsi="Arial" w:cs="Arial"/>
        </w:rPr>
      </w:pPr>
      <w:r w:rsidRPr="006B0BEF">
        <w:rPr>
          <w:noProof/>
          <w:lang w:val="es-MX" w:eastAsia="es-MX"/>
        </w:rPr>
        <w:drawing>
          <wp:inline distT="0" distB="0" distL="0" distR="0">
            <wp:extent cx="5343525" cy="2904490"/>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44068" cy="2904785"/>
                    </a:xfrm>
                    <a:prstGeom prst="rect">
                      <a:avLst/>
                    </a:prstGeom>
                    <a:noFill/>
                    <a:ln>
                      <a:noFill/>
                    </a:ln>
                  </pic:spPr>
                </pic:pic>
              </a:graphicData>
            </a:graphic>
          </wp:inline>
        </w:drawing>
      </w:r>
    </w:p>
    <w:p w:rsidR="00E635D6" w:rsidRPr="006B0BEF" w:rsidRDefault="00E635D6" w:rsidP="00E635D6">
      <w:pPr>
        <w:tabs>
          <w:tab w:val="left" w:pos="567"/>
        </w:tabs>
        <w:ind w:left="567"/>
        <w:jc w:val="both"/>
        <w:rPr>
          <w:rFonts w:ascii="Arial" w:hAnsi="Arial" w:cs="Arial"/>
        </w:rPr>
      </w:pPr>
    </w:p>
    <w:p w:rsidR="00E635D6" w:rsidRPr="006B0BEF" w:rsidRDefault="00E635D6" w:rsidP="00E635D6">
      <w:pPr>
        <w:tabs>
          <w:tab w:val="left" w:pos="567"/>
        </w:tabs>
        <w:ind w:left="567"/>
        <w:jc w:val="both"/>
        <w:rPr>
          <w:rFonts w:ascii="Arial" w:hAnsi="Arial" w:cs="Arial"/>
        </w:rPr>
      </w:pPr>
      <w:r w:rsidRPr="006B0BEF">
        <w:rPr>
          <w:rFonts w:ascii="Arial" w:hAnsi="Arial" w:cs="Arial"/>
        </w:rPr>
        <w:t>Asimismo, se precisa que en virtud de que se trata de una coalición relativa al proceso electoral local, la distribución de tiempos del proceso electoral federal no sufre modificación alguna, por lo que en el siguiente cuadro se detalla el número de promocionales asignados a cada partido político durante el periodo de vigencia del presente Acuerdo:</w:t>
      </w:r>
    </w:p>
    <w:p w:rsidR="00E635D6" w:rsidRPr="006B0BEF" w:rsidRDefault="00E635D6" w:rsidP="00E635D6">
      <w:pPr>
        <w:ind w:left="709"/>
        <w:jc w:val="both"/>
        <w:rPr>
          <w:rFonts w:ascii="Arial" w:hAnsi="Arial" w:cs="Arial"/>
        </w:rPr>
      </w:pPr>
    </w:p>
    <w:p w:rsidR="00E635D6" w:rsidRPr="006B0BEF" w:rsidRDefault="00807C29" w:rsidP="00807C29">
      <w:pPr>
        <w:ind w:left="709"/>
        <w:jc w:val="center"/>
        <w:rPr>
          <w:rFonts w:ascii="Arial" w:hAnsi="Arial" w:cs="Arial"/>
        </w:rPr>
      </w:pPr>
      <w:r w:rsidRPr="006B0BEF">
        <w:rPr>
          <w:noProof/>
          <w:lang w:val="es-MX" w:eastAsia="es-MX"/>
        </w:rPr>
        <w:drawing>
          <wp:inline distT="0" distB="0" distL="0" distR="0">
            <wp:extent cx="3596139" cy="3086100"/>
            <wp:effectExtent l="0" t="0" r="444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02823" cy="3091836"/>
                    </a:xfrm>
                    <a:prstGeom prst="rect">
                      <a:avLst/>
                    </a:prstGeom>
                    <a:noFill/>
                    <a:ln>
                      <a:noFill/>
                    </a:ln>
                  </pic:spPr>
                </pic:pic>
              </a:graphicData>
            </a:graphic>
          </wp:inline>
        </w:drawing>
      </w:r>
    </w:p>
    <w:p w:rsidR="00E635D6" w:rsidRDefault="00E635D6" w:rsidP="00E635D6">
      <w:pPr>
        <w:jc w:val="both"/>
        <w:rPr>
          <w:rFonts w:ascii="Arial" w:hAnsi="Arial" w:cs="Arial"/>
        </w:rPr>
      </w:pPr>
    </w:p>
    <w:p w:rsidR="004B44EE" w:rsidRPr="006B0BEF" w:rsidRDefault="004B44EE" w:rsidP="00E635D6">
      <w:pPr>
        <w:jc w:val="both"/>
        <w:rPr>
          <w:rFonts w:ascii="Arial" w:hAnsi="Arial" w:cs="Arial"/>
        </w:rPr>
      </w:pP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t>Por lo que hace a los restantes aspectos relativos a: i) Los horarios de transmisión de los mensajes pautados; ii) La duración de los mensajes a transmitir; iii) Los calendarios de entrega y notificación de órdenes de transmisión y materiales, iv) El catálogo de emisoras que cubrirán el proceso electoral local de referencia y v) Aspectos que no tienen relación con la modificación que por esta vía se ordena, se mantienen incólumes; por lo tanto, deberán quedar en los mismos términos en que fueron aprobados a través del acuerdo identificado con la clave INE/A</w:t>
      </w:r>
      <w:r w:rsidR="00483A4A" w:rsidRPr="006B0BEF">
        <w:rPr>
          <w:rFonts w:ascii="Arial" w:hAnsi="Arial" w:cs="Arial"/>
          <w:color w:val="000000"/>
        </w:rPr>
        <w:t>CRT/40</w:t>
      </w:r>
      <w:r w:rsidRPr="006B0BEF">
        <w:rPr>
          <w:rFonts w:ascii="Arial" w:hAnsi="Arial" w:cs="Arial"/>
          <w:color w:val="000000"/>
        </w:rPr>
        <w:t xml:space="preserve">/2017. </w:t>
      </w:r>
    </w:p>
    <w:p w:rsidR="00E635D6" w:rsidRPr="006B0BEF" w:rsidRDefault="00E635D6" w:rsidP="00E635D6">
      <w:pPr>
        <w:tabs>
          <w:tab w:val="num" w:pos="709"/>
        </w:tabs>
        <w:autoSpaceDE w:val="0"/>
        <w:autoSpaceDN w:val="0"/>
        <w:adjustRightInd w:val="0"/>
        <w:ind w:left="567"/>
        <w:contextualSpacing/>
        <w:jc w:val="both"/>
        <w:rPr>
          <w:rFonts w:ascii="Arial" w:hAnsi="Arial" w:cs="Arial"/>
        </w:rPr>
      </w:pP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t>Las pautas que se aprueban mediante el presente Acuerdo no podrán ser modificadas o alteradas por los concesionarios de radio y televisión,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E635D6" w:rsidRDefault="00E635D6" w:rsidP="00E635D6">
      <w:pPr>
        <w:ind w:left="567"/>
        <w:jc w:val="both"/>
        <w:rPr>
          <w:rFonts w:ascii="Arial" w:hAnsi="Arial" w:cs="Arial"/>
          <w:color w:val="000000"/>
        </w:rPr>
      </w:pPr>
    </w:p>
    <w:p w:rsidR="00C47568" w:rsidRPr="006B0BEF" w:rsidRDefault="00C47568" w:rsidP="00E635D6">
      <w:pPr>
        <w:ind w:left="567"/>
        <w:jc w:val="both"/>
        <w:rPr>
          <w:rFonts w:ascii="Arial" w:hAnsi="Arial" w:cs="Arial"/>
          <w:color w:val="000000"/>
        </w:rPr>
      </w:pPr>
    </w:p>
    <w:p w:rsidR="00E635D6" w:rsidRPr="006B0BEF" w:rsidRDefault="00E635D6" w:rsidP="00E635D6">
      <w:pPr>
        <w:numPr>
          <w:ilvl w:val="0"/>
          <w:numId w:val="4"/>
        </w:numPr>
        <w:ind w:left="567" w:hanging="567"/>
        <w:jc w:val="both"/>
        <w:rPr>
          <w:rFonts w:ascii="Arial" w:hAnsi="Arial" w:cs="Arial"/>
          <w:color w:val="000000"/>
        </w:rPr>
      </w:pPr>
      <w:r w:rsidRPr="006B0BEF">
        <w:rPr>
          <w:rFonts w:ascii="Arial" w:hAnsi="Arial" w:cs="Arial"/>
          <w:color w:val="000000"/>
        </w:rPr>
        <w:lastRenderedPageBreak/>
        <w:t>En relación con la notificación de las pautas de transmisión, éstas deberán ser notificadas con al menos cuatro días hábiles de anticipación a la fecha de inicio de transmisiones y surtirán sus efectos el mismo día de su realización, de conformidad con el artículo 36, numeral 3 del Reglamento de la materia.</w:t>
      </w:r>
    </w:p>
    <w:p w:rsidR="00E635D6" w:rsidRPr="006B0BEF" w:rsidRDefault="00E635D6" w:rsidP="00E635D6">
      <w:pPr>
        <w:jc w:val="both"/>
        <w:rPr>
          <w:rFonts w:ascii="Arial" w:hAnsi="Arial" w:cs="Arial"/>
        </w:rPr>
      </w:pPr>
    </w:p>
    <w:p w:rsidR="00E635D6" w:rsidRPr="006B0BEF" w:rsidRDefault="00E635D6" w:rsidP="00E635D6">
      <w:pPr>
        <w:jc w:val="both"/>
        <w:rPr>
          <w:rFonts w:ascii="Arial" w:hAnsi="Arial" w:cs="Arial"/>
        </w:rPr>
      </w:pPr>
    </w:p>
    <w:p w:rsidR="00E635D6" w:rsidRPr="006B0BEF" w:rsidRDefault="00E635D6" w:rsidP="00E635D6">
      <w:pPr>
        <w:autoSpaceDE w:val="0"/>
        <w:autoSpaceDN w:val="0"/>
        <w:adjustRightInd w:val="0"/>
        <w:jc w:val="both"/>
        <w:rPr>
          <w:rFonts w:ascii="Arial" w:eastAsia="Arial" w:hAnsi="Arial" w:cs="Arial"/>
          <w:b/>
          <w:spacing w:val="1"/>
        </w:rPr>
      </w:pPr>
      <w:r w:rsidRPr="006B0BEF">
        <w:rPr>
          <w:rFonts w:ascii="Arial" w:eastAsia="Arial" w:hAnsi="Arial" w:cs="Arial"/>
          <w:b/>
          <w:spacing w:val="1"/>
        </w:rPr>
        <w:t>Fundamentos para la emisión del Acuerdo</w:t>
      </w:r>
    </w:p>
    <w:p w:rsidR="00E635D6" w:rsidRPr="006B0BEF" w:rsidRDefault="00E635D6" w:rsidP="00E635D6">
      <w:pPr>
        <w:pStyle w:val="NormalWeb"/>
        <w:shd w:val="clear" w:color="auto" w:fill="FFFFFF"/>
        <w:jc w:val="both"/>
        <w:rPr>
          <w:rFonts w:ascii="Arial" w:eastAsia="Calibri" w:hAnsi="Arial" w:cs="Arial"/>
          <w:spacing w:val="-2"/>
        </w:rPr>
      </w:pPr>
    </w:p>
    <w:tbl>
      <w:tblPr>
        <w:tblStyle w:val="Tablaconcuadrcula"/>
        <w:tblW w:w="5000" w:type="pct"/>
        <w:tblInd w:w="0" w:type="dxa"/>
        <w:tblLook w:val="04A0" w:firstRow="1" w:lastRow="0" w:firstColumn="1" w:lastColumn="0" w:noHBand="0" w:noVBand="1"/>
      </w:tblPr>
      <w:tblGrid>
        <w:gridCol w:w="9962"/>
      </w:tblGrid>
      <w:tr w:rsidR="00E635D6" w:rsidRPr="006B0BEF" w:rsidTr="004B44EE">
        <w:trPr>
          <w:trHeight w:val="397"/>
        </w:trPr>
        <w:tc>
          <w:tcPr>
            <w:tcW w:w="5000" w:type="pct"/>
            <w:shd w:val="clear" w:color="auto" w:fill="D9D9D9" w:themeFill="background1" w:themeFillShade="D9"/>
            <w:vAlign w:val="center"/>
          </w:tcPr>
          <w:p w:rsidR="00E635D6" w:rsidRPr="006B0BEF" w:rsidRDefault="00E635D6" w:rsidP="004B44EE">
            <w:pPr>
              <w:autoSpaceDE w:val="0"/>
              <w:autoSpaceDN w:val="0"/>
              <w:adjustRightInd w:val="0"/>
              <w:jc w:val="center"/>
              <w:rPr>
                <w:rFonts w:ascii="Arial" w:eastAsia="Arial" w:hAnsi="Arial" w:cs="Arial"/>
                <w:i/>
                <w:spacing w:val="1"/>
              </w:rPr>
            </w:pPr>
            <w:r w:rsidRPr="006B0BEF">
              <w:rPr>
                <w:rFonts w:ascii="Arial" w:eastAsia="Arial" w:hAnsi="Arial" w:cs="Arial"/>
                <w:i/>
                <w:spacing w:val="1"/>
              </w:rPr>
              <w:t>Constitución Política de los Estados Unidos Mexicanos</w:t>
            </w:r>
          </w:p>
        </w:tc>
      </w:tr>
      <w:tr w:rsidR="00E635D6" w:rsidRPr="006B0BEF" w:rsidTr="004B44EE">
        <w:trPr>
          <w:trHeight w:val="397"/>
        </w:trPr>
        <w:tc>
          <w:tcPr>
            <w:tcW w:w="5000" w:type="pct"/>
            <w:vAlign w:val="center"/>
          </w:tcPr>
          <w:p w:rsidR="00E635D6" w:rsidRPr="006B0BEF" w:rsidRDefault="00E635D6" w:rsidP="004B44EE">
            <w:pPr>
              <w:autoSpaceDE w:val="0"/>
              <w:autoSpaceDN w:val="0"/>
              <w:adjustRightInd w:val="0"/>
              <w:rPr>
                <w:rFonts w:ascii="Arial" w:eastAsia="Arial" w:hAnsi="Arial" w:cs="Arial"/>
                <w:spacing w:val="1"/>
              </w:rPr>
            </w:pPr>
            <w:r w:rsidRPr="006B0BEF">
              <w:rPr>
                <w:rFonts w:ascii="Arial" w:hAnsi="Arial" w:cs="Arial"/>
                <w:spacing w:val="-2"/>
              </w:rPr>
              <w:t xml:space="preserve">41, base III, apartados A, primer párrafo y B. </w:t>
            </w:r>
          </w:p>
        </w:tc>
      </w:tr>
      <w:tr w:rsidR="00E635D6" w:rsidRPr="006B0BEF" w:rsidTr="004B44EE">
        <w:trPr>
          <w:trHeight w:val="397"/>
        </w:trPr>
        <w:tc>
          <w:tcPr>
            <w:tcW w:w="5000" w:type="pct"/>
            <w:shd w:val="clear" w:color="auto" w:fill="D9D9D9" w:themeFill="background1" w:themeFillShade="D9"/>
            <w:vAlign w:val="center"/>
          </w:tcPr>
          <w:p w:rsidR="00E635D6" w:rsidRPr="006B0BEF" w:rsidRDefault="00E635D6" w:rsidP="004B44EE">
            <w:pPr>
              <w:autoSpaceDE w:val="0"/>
              <w:autoSpaceDN w:val="0"/>
              <w:adjustRightInd w:val="0"/>
              <w:jc w:val="center"/>
              <w:rPr>
                <w:rFonts w:ascii="Arial" w:eastAsia="Arial" w:hAnsi="Arial" w:cs="Arial"/>
                <w:i/>
                <w:spacing w:val="1"/>
              </w:rPr>
            </w:pPr>
            <w:r w:rsidRPr="006B0BEF">
              <w:rPr>
                <w:rFonts w:ascii="Arial" w:eastAsia="Arial" w:hAnsi="Arial" w:cs="Arial"/>
                <w:i/>
                <w:spacing w:val="1"/>
              </w:rPr>
              <w:t>Ley General de Instituciones y Procedimientos Electorales</w:t>
            </w:r>
          </w:p>
        </w:tc>
      </w:tr>
      <w:tr w:rsidR="00E635D6" w:rsidRPr="006B0BEF" w:rsidTr="004B44EE">
        <w:trPr>
          <w:trHeight w:val="850"/>
        </w:trPr>
        <w:tc>
          <w:tcPr>
            <w:tcW w:w="5000" w:type="pct"/>
            <w:shd w:val="clear" w:color="auto" w:fill="auto"/>
            <w:vAlign w:val="center"/>
          </w:tcPr>
          <w:p w:rsidR="00E635D6" w:rsidRPr="006B0BEF" w:rsidRDefault="00E635D6" w:rsidP="004B44EE">
            <w:pPr>
              <w:autoSpaceDE w:val="0"/>
              <w:autoSpaceDN w:val="0"/>
              <w:adjustRightInd w:val="0"/>
              <w:jc w:val="both"/>
              <w:rPr>
                <w:rFonts w:ascii="Arial" w:eastAsia="Arial" w:hAnsi="Arial" w:cs="Arial"/>
                <w:spacing w:val="1"/>
              </w:rPr>
            </w:pPr>
            <w:r w:rsidRPr="006B0BEF">
              <w:rPr>
                <w:rFonts w:ascii="Arial" w:hAnsi="Arial" w:cs="Arial"/>
                <w:spacing w:val="-2"/>
              </w:rPr>
              <w:t>1, numerales 1 y 2; 30, numeral 1, inciso h); 159, numeral 2; 160, numerales 1 y 2; 162; 165, numeral 1; 167 numerales 1, 2; 168, numeral 5; 183, numeral 4; 184, numeral 1, inciso a).</w:t>
            </w:r>
          </w:p>
        </w:tc>
      </w:tr>
      <w:tr w:rsidR="00E635D6" w:rsidRPr="006B0BEF" w:rsidTr="004B44EE">
        <w:trPr>
          <w:trHeight w:val="397"/>
        </w:trPr>
        <w:tc>
          <w:tcPr>
            <w:tcW w:w="5000" w:type="pct"/>
            <w:shd w:val="clear" w:color="auto" w:fill="D9D9D9" w:themeFill="background1" w:themeFillShade="D9"/>
            <w:vAlign w:val="center"/>
          </w:tcPr>
          <w:p w:rsidR="00E635D6" w:rsidRPr="006B0BEF" w:rsidRDefault="00E635D6" w:rsidP="004B44EE">
            <w:pPr>
              <w:autoSpaceDE w:val="0"/>
              <w:autoSpaceDN w:val="0"/>
              <w:adjustRightInd w:val="0"/>
              <w:jc w:val="center"/>
              <w:rPr>
                <w:rFonts w:ascii="Arial" w:eastAsia="Arial" w:hAnsi="Arial" w:cs="Arial"/>
                <w:i/>
                <w:spacing w:val="1"/>
              </w:rPr>
            </w:pPr>
            <w:r w:rsidRPr="006B0BEF">
              <w:rPr>
                <w:rFonts w:ascii="Arial" w:eastAsia="Arial" w:hAnsi="Arial" w:cs="Arial"/>
                <w:i/>
                <w:spacing w:val="1"/>
              </w:rPr>
              <w:t>Ley General de Partidos Políticos</w:t>
            </w:r>
          </w:p>
        </w:tc>
      </w:tr>
      <w:tr w:rsidR="00E635D6" w:rsidRPr="006B0BEF" w:rsidTr="004B44EE">
        <w:trPr>
          <w:trHeight w:val="850"/>
        </w:trPr>
        <w:tc>
          <w:tcPr>
            <w:tcW w:w="5000" w:type="pct"/>
            <w:vAlign w:val="center"/>
          </w:tcPr>
          <w:p w:rsidR="00E635D6" w:rsidRPr="006B0BEF" w:rsidRDefault="00E635D6" w:rsidP="004B44EE">
            <w:pPr>
              <w:autoSpaceDE w:val="0"/>
              <w:autoSpaceDN w:val="0"/>
              <w:adjustRightInd w:val="0"/>
              <w:jc w:val="both"/>
              <w:rPr>
                <w:rFonts w:ascii="Arial" w:eastAsia="Arial" w:hAnsi="Arial" w:cs="Arial"/>
                <w:spacing w:val="1"/>
              </w:rPr>
            </w:pPr>
            <w:r w:rsidRPr="006B0BEF">
              <w:rPr>
                <w:rFonts w:ascii="Arial" w:hAnsi="Arial" w:cs="Arial"/>
                <w:spacing w:val="-2"/>
              </w:rPr>
              <w:t>23, numeral 1, inciso d); 26, numeral 1, inciso a); 49; 87, numeral 2; 88, numerales 1, 2 y 3; 91, numerales 3, 4 y 5.</w:t>
            </w:r>
          </w:p>
        </w:tc>
      </w:tr>
      <w:tr w:rsidR="00E635D6" w:rsidRPr="006B0BEF" w:rsidTr="004B44EE">
        <w:trPr>
          <w:trHeight w:val="397"/>
        </w:trPr>
        <w:tc>
          <w:tcPr>
            <w:tcW w:w="5000" w:type="pct"/>
            <w:shd w:val="clear" w:color="auto" w:fill="D9D9D9" w:themeFill="background1" w:themeFillShade="D9"/>
            <w:vAlign w:val="center"/>
          </w:tcPr>
          <w:p w:rsidR="00E635D6" w:rsidRPr="006B0BEF" w:rsidRDefault="00E635D6" w:rsidP="004B44EE">
            <w:pPr>
              <w:autoSpaceDE w:val="0"/>
              <w:autoSpaceDN w:val="0"/>
              <w:adjustRightInd w:val="0"/>
              <w:jc w:val="center"/>
              <w:rPr>
                <w:rFonts w:ascii="Arial" w:eastAsia="Arial" w:hAnsi="Arial" w:cs="Arial"/>
                <w:i/>
                <w:spacing w:val="1"/>
              </w:rPr>
            </w:pPr>
            <w:r w:rsidRPr="006B0BEF">
              <w:rPr>
                <w:rFonts w:ascii="Arial" w:eastAsia="Arial" w:hAnsi="Arial" w:cs="Arial"/>
                <w:i/>
                <w:spacing w:val="1"/>
              </w:rPr>
              <w:t>Reglamento de Radio y Televisión en Materia Electoral</w:t>
            </w:r>
          </w:p>
        </w:tc>
      </w:tr>
      <w:tr w:rsidR="00E635D6" w:rsidRPr="006B0BEF" w:rsidTr="004B44EE">
        <w:trPr>
          <w:trHeight w:val="850"/>
        </w:trPr>
        <w:tc>
          <w:tcPr>
            <w:tcW w:w="5000" w:type="pct"/>
            <w:vAlign w:val="center"/>
          </w:tcPr>
          <w:p w:rsidR="00E635D6" w:rsidRPr="006B0BEF" w:rsidRDefault="00E635D6" w:rsidP="004B44EE">
            <w:pPr>
              <w:autoSpaceDE w:val="0"/>
              <w:autoSpaceDN w:val="0"/>
              <w:adjustRightInd w:val="0"/>
              <w:jc w:val="both"/>
              <w:rPr>
                <w:rFonts w:ascii="Arial" w:eastAsia="Arial" w:hAnsi="Arial" w:cs="Arial"/>
                <w:spacing w:val="1"/>
              </w:rPr>
            </w:pPr>
            <w:r w:rsidRPr="006B0BEF">
              <w:rPr>
                <w:rFonts w:ascii="Arial" w:hAnsi="Arial" w:cs="Arial"/>
                <w:spacing w:val="-2"/>
              </w:rPr>
              <w:t xml:space="preserve">1, numeral 1; 4, numeral 2; 6, numeral 2, inciso b); 7, numeral 3; 15, numerales 11 y 12; 16; 34, numerales 2 y 5; </w:t>
            </w:r>
            <w:r w:rsidRPr="006B0BEF">
              <w:rPr>
                <w:rFonts w:ascii="Arial" w:hAnsi="Arial" w:cs="Arial"/>
              </w:rPr>
              <w:t>36, numerales 1, inciso c) y 3.</w:t>
            </w:r>
          </w:p>
        </w:tc>
      </w:tr>
      <w:tr w:rsidR="00F6192A" w:rsidRPr="006B0BEF" w:rsidTr="004B44EE">
        <w:trPr>
          <w:trHeight w:val="397"/>
        </w:trPr>
        <w:tc>
          <w:tcPr>
            <w:tcW w:w="5000" w:type="pct"/>
            <w:shd w:val="clear" w:color="auto" w:fill="D9D9D9" w:themeFill="background1" w:themeFillShade="D9"/>
            <w:vAlign w:val="center"/>
          </w:tcPr>
          <w:p w:rsidR="00F6192A" w:rsidRPr="006B0BEF" w:rsidRDefault="00F6192A" w:rsidP="004B44EE">
            <w:pPr>
              <w:autoSpaceDE w:val="0"/>
              <w:autoSpaceDN w:val="0"/>
              <w:adjustRightInd w:val="0"/>
              <w:jc w:val="center"/>
              <w:rPr>
                <w:rFonts w:ascii="Arial" w:hAnsi="Arial" w:cs="Arial"/>
                <w:i/>
                <w:spacing w:val="-2"/>
              </w:rPr>
            </w:pPr>
            <w:r w:rsidRPr="006B0BEF">
              <w:rPr>
                <w:rFonts w:ascii="Arial" w:hAnsi="Arial" w:cs="Arial"/>
                <w:i/>
                <w:spacing w:val="-2"/>
              </w:rPr>
              <w:t>Reglamento de Elecciones</w:t>
            </w:r>
          </w:p>
        </w:tc>
      </w:tr>
      <w:tr w:rsidR="00F6192A" w:rsidRPr="006B0BEF" w:rsidTr="004B44EE">
        <w:trPr>
          <w:trHeight w:val="397"/>
        </w:trPr>
        <w:tc>
          <w:tcPr>
            <w:tcW w:w="5000" w:type="pct"/>
            <w:vAlign w:val="center"/>
          </w:tcPr>
          <w:p w:rsidR="00F6192A" w:rsidRPr="006B0BEF" w:rsidRDefault="00F6192A" w:rsidP="004B44EE">
            <w:pPr>
              <w:tabs>
                <w:tab w:val="left" w:pos="1995"/>
              </w:tabs>
              <w:autoSpaceDE w:val="0"/>
              <w:autoSpaceDN w:val="0"/>
              <w:adjustRightInd w:val="0"/>
              <w:rPr>
                <w:rFonts w:ascii="Arial" w:hAnsi="Arial" w:cs="Arial"/>
                <w:spacing w:val="-2"/>
              </w:rPr>
            </w:pPr>
            <w:r w:rsidRPr="006B0BEF">
              <w:rPr>
                <w:rFonts w:ascii="Arial" w:hAnsi="Arial" w:cs="Arial"/>
              </w:rPr>
              <w:t>276, numeral 3, inciso j).</w:t>
            </w:r>
          </w:p>
        </w:tc>
      </w:tr>
    </w:tbl>
    <w:p w:rsidR="00E635D6" w:rsidRPr="006B0BEF" w:rsidRDefault="00E635D6" w:rsidP="00E635D6">
      <w:pPr>
        <w:contextualSpacing/>
        <w:rPr>
          <w:rFonts w:ascii="Arial" w:hAnsi="Arial" w:cs="Arial"/>
          <w:b/>
        </w:rPr>
      </w:pPr>
    </w:p>
    <w:p w:rsidR="00E635D6" w:rsidRPr="006B0BEF" w:rsidRDefault="00E635D6" w:rsidP="00E635D6">
      <w:pPr>
        <w:spacing w:line="300" w:lineRule="exact"/>
        <w:ind w:right="173"/>
        <w:jc w:val="both"/>
        <w:rPr>
          <w:spacing w:val="3"/>
        </w:rPr>
      </w:pPr>
      <w:r w:rsidRPr="006B0BEF">
        <w:rPr>
          <w:rFonts w:ascii="Arial" w:eastAsia="Arial" w:hAnsi="Arial" w:cs="Arial"/>
          <w:spacing w:val="1"/>
        </w:rPr>
        <w:t>En razón de los antecedentes, considerandos y fundamentos señalados, el Comité de Radio y Televisión del Instituto Nacional Electoral emite el siguiente:</w:t>
      </w:r>
    </w:p>
    <w:p w:rsidR="00E635D6" w:rsidRPr="006B0BEF" w:rsidRDefault="00E635D6" w:rsidP="00E635D6">
      <w:pPr>
        <w:ind w:left="360"/>
        <w:contextualSpacing/>
        <w:jc w:val="center"/>
        <w:rPr>
          <w:rFonts w:ascii="Arial" w:hAnsi="Arial" w:cs="Arial"/>
          <w:b/>
        </w:rPr>
      </w:pPr>
    </w:p>
    <w:p w:rsidR="00E635D6" w:rsidRPr="006B0BEF" w:rsidRDefault="00E635D6" w:rsidP="00E635D6">
      <w:pPr>
        <w:ind w:left="360"/>
        <w:contextualSpacing/>
        <w:jc w:val="center"/>
        <w:rPr>
          <w:rFonts w:ascii="Arial" w:hAnsi="Arial" w:cs="Arial"/>
          <w:b/>
        </w:rPr>
      </w:pPr>
    </w:p>
    <w:p w:rsidR="00E635D6" w:rsidRDefault="00E635D6" w:rsidP="00E635D6">
      <w:pPr>
        <w:ind w:left="360"/>
        <w:contextualSpacing/>
        <w:jc w:val="center"/>
        <w:rPr>
          <w:rFonts w:ascii="Arial" w:hAnsi="Arial" w:cs="Arial"/>
          <w:b/>
        </w:rPr>
      </w:pPr>
      <w:r w:rsidRPr="006B0BEF">
        <w:rPr>
          <w:rFonts w:ascii="Arial" w:hAnsi="Arial" w:cs="Arial"/>
          <w:b/>
        </w:rPr>
        <w:t>A c u e r d o</w:t>
      </w:r>
    </w:p>
    <w:p w:rsidR="004B44EE" w:rsidRPr="006B0BEF" w:rsidRDefault="004B44EE" w:rsidP="00E635D6">
      <w:pPr>
        <w:ind w:left="360"/>
        <w:contextualSpacing/>
        <w:jc w:val="center"/>
        <w:rPr>
          <w:rFonts w:ascii="Arial" w:hAnsi="Arial" w:cs="Arial"/>
          <w:b/>
        </w:rPr>
      </w:pPr>
    </w:p>
    <w:p w:rsidR="00E635D6" w:rsidRPr="006B0BEF" w:rsidRDefault="00E635D6" w:rsidP="00E635D6">
      <w:pPr>
        <w:contextualSpacing/>
        <w:jc w:val="both"/>
        <w:rPr>
          <w:rFonts w:ascii="Arial" w:hAnsi="Arial" w:cs="Arial"/>
        </w:rPr>
      </w:pPr>
    </w:p>
    <w:p w:rsidR="00E635D6" w:rsidRPr="006B0BEF" w:rsidRDefault="00E635D6" w:rsidP="00E635D6">
      <w:pPr>
        <w:jc w:val="both"/>
        <w:rPr>
          <w:rFonts w:ascii="Arial" w:hAnsi="Arial" w:cs="Arial"/>
        </w:rPr>
      </w:pPr>
      <w:r w:rsidRPr="006B0BEF">
        <w:rPr>
          <w:rFonts w:ascii="Arial" w:hAnsi="Arial" w:cs="Arial"/>
          <w:b/>
        </w:rPr>
        <w:t>PRIMERO.</w:t>
      </w:r>
      <w:r w:rsidRPr="006B0BEF">
        <w:rPr>
          <w:rFonts w:ascii="Arial" w:hAnsi="Arial" w:cs="Arial"/>
        </w:rPr>
        <w:t xml:space="preserve"> En los términos previstos en los considerandos, se aprueba la modificación del Acuerdo </w:t>
      </w:r>
      <w:r w:rsidR="00483A4A" w:rsidRPr="006B0BEF">
        <w:rPr>
          <w:rFonts w:ascii="Arial" w:hAnsi="Arial" w:cs="Arial"/>
        </w:rPr>
        <w:t>INE/ACRT/</w:t>
      </w:r>
      <w:r w:rsidRPr="006B0BEF">
        <w:rPr>
          <w:rFonts w:ascii="Arial" w:hAnsi="Arial" w:cs="Arial"/>
        </w:rPr>
        <w:t>4</w:t>
      </w:r>
      <w:r w:rsidR="00483A4A" w:rsidRPr="006B0BEF">
        <w:rPr>
          <w:rFonts w:ascii="Arial" w:hAnsi="Arial" w:cs="Arial"/>
        </w:rPr>
        <w:t>0</w:t>
      </w:r>
      <w:r w:rsidRPr="006B0BEF">
        <w:rPr>
          <w:rFonts w:ascii="Arial" w:hAnsi="Arial" w:cs="Arial"/>
        </w:rPr>
        <w:t xml:space="preserve">/2017, en cuanto a los modelos de distribución y las pautas de transmisión de los mensajes correspondientes a los partidos políticos y coaliciones del periodo comprendido del </w:t>
      </w:r>
      <w:r w:rsidR="002D25B6" w:rsidRPr="006B0BEF">
        <w:rPr>
          <w:rFonts w:ascii="Arial" w:hAnsi="Arial" w:cs="Arial"/>
        </w:rPr>
        <w:t>ocho</w:t>
      </w:r>
      <w:r w:rsidRPr="006B0BEF">
        <w:rPr>
          <w:rFonts w:ascii="Arial" w:hAnsi="Arial" w:cs="Arial"/>
        </w:rPr>
        <w:t xml:space="preserve"> al once de febrero de dos mil dieciocho, mismas que se anexan y forman parte del presente Acuerdo.</w:t>
      </w:r>
    </w:p>
    <w:p w:rsidR="00E635D6" w:rsidRPr="006B0BEF" w:rsidRDefault="00E635D6" w:rsidP="00E635D6">
      <w:pPr>
        <w:contextualSpacing/>
        <w:jc w:val="both"/>
        <w:rPr>
          <w:rFonts w:ascii="Arial" w:hAnsi="Arial" w:cs="Arial"/>
          <w:b/>
        </w:rPr>
      </w:pPr>
    </w:p>
    <w:p w:rsidR="00E635D6" w:rsidRPr="006B0BEF" w:rsidRDefault="00E635D6" w:rsidP="00E635D6">
      <w:pPr>
        <w:jc w:val="both"/>
        <w:rPr>
          <w:rFonts w:ascii="Arial" w:hAnsi="Arial" w:cs="Arial"/>
        </w:rPr>
      </w:pPr>
      <w:r w:rsidRPr="006B0BEF">
        <w:rPr>
          <w:rFonts w:ascii="Arial" w:hAnsi="Arial" w:cs="Arial"/>
          <w:b/>
        </w:rPr>
        <w:lastRenderedPageBreak/>
        <w:t xml:space="preserve">SEGUNDO. </w:t>
      </w:r>
      <w:r w:rsidRPr="006B0BEF">
        <w:rPr>
          <w:rFonts w:ascii="Arial" w:hAnsi="Arial" w:cs="Arial"/>
        </w:rPr>
        <w:t xml:space="preserve">Se instruye a la Dirección Ejecutiva de Prerrogativas y Partidos Políticos para que con el auxilio del Vocal Ejecutivo de la Junta Local Ejecutiva en el estado de </w:t>
      </w:r>
      <w:r w:rsidR="00483A4A" w:rsidRPr="006B0BEF">
        <w:rPr>
          <w:rFonts w:ascii="Arial" w:hAnsi="Arial" w:cs="Arial"/>
        </w:rPr>
        <w:t>Aguascalientes</w:t>
      </w:r>
      <w:r w:rsidRPr="006B0BEF">
        <w:rPr>
          <w:rFonts w:ascii="Arial" w:hAnsi="Arial" w:cs="Arial"/>
        </w:rPr>
        <w:t xml:space="preserve"> notifique las pautas que se aprueban mediante el presente instrumento, a las emisoras previstas en </w:t>
      </w:r>
      <w:r w:rsidR="00753C87" w:rsidRPr="006B0BEF">
        <w:rPr>
          <w:rFonts w:ascii="Arial" w:hAnsi="Arial" w:cs="Arial"/>
        </w:rPr>
        <w:t>dichas pautas</w:t>
      </w:r>
      <w:r w:rsidRPr="006B0BEF">
        <w:rPr>
          <w:rFonts w:ascii="Arial" w:hAnsi="Arial" w:cs="Arial"/>
        </w:rPr>
        <w:t>, en los términos y condiciones señalados en el Reglamento de la materia.</w:t>
      </w:r>
    </w:p>
    <w:p w:rsidR="00E635D6" w:rsidRPr="006B0BEF" w:rsidRDefault="00E635D6" w:rsidP="00E635D6">
      <w:pPr>
        <w:ind w:left="360"/>
        <w:contextualSpacing/>
        <w:jc w:val="both"/>
        <w:rPr>
          <w:rFonts w:ascii="Arial" w:hAnsi="Arial" w:cs="Arial"/>
          <w:b/>
        </w:rPr>
      </w:pPr>
    </w:p>
    <w:p w:rsidR="00E635D6" w:rsidRPr="006B0BEF" w:rsidRDefault="00E635D6" w:rsidP="00E635D6">
      <w:pPr>
        <w:jc w:val="both"/>
        <w:rPr>
          <w:rFonts w:ascii="Arial" w:hAnsi="Arial" w:cs="Arial"/>
        </w:rPr>
      </w:pPr>
      <w:r w:rsidRPr="006B0BEF">
        <w:rPr>
          <w:rFonts w:ascii="Arial" w:hAnsi="Arial" w:cs="Arial"/>
          <w:b/>
        </w:rPr>
        <w:t>TERCERO.</w:t>
      </w:r>
      <w:r w:rsidRPr="006B0BEF">
        <w:rPr>
          <w:rFonts w:ascii="Arial" w:hAnsi="Arial" w:cs="Arial"/>
        </w:rPr>
        <w:t xml:space="preserve"> 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E635D6" w:rsidRPr="006B0BEF" w:rsidRDefault="00E635D6" w:rsidP="00E635D6">
      <w:pPr>
        <w:jc w:val="both"/>
        <w:rPr>
          <w:rFonts w:ascii="Arial" w:hAnsi="Arial" w:cs="Arial"/>
        </w:rPr>
      </w:pPr>
    </w:p>
    <w:p w:rsidR="00C2694B" w:rsidRDefault="00E635D6" w:rsidP="00E635D6">
      <w:pPr>
        <w:jc w:val="both"/>
        <w:rPr>
          <w:rFonts w:ascii="Arial" w:hAnsi="Arial" w:cs="Arial"/>
        </w:rPr>
      </w:pPr>
      <w:r w:rsidRPr="006B0BEF">
        <w:rPr>
          <w:rFonts w:ascii="Arial" w:hAnsi="Arial" w:cs="Arial"/>
          <w:b/>
        </w:rPr>
        <w:t>CUARTO.</w:t>
      </w:r>
      <w:r w:rsidRPr="006B0BEF">
        <w:rPr>
          <w:rFonts w:ascii="Arial" w:hAnsi="Arial" w:cs="Arial"/>
        </w:rPr>
        <w:t xml:space="preserve"> Se instruye a la Dirección Ejecutiva de Prerrogativas y Partidos Políticos para que a través del Vocal Ejecutivo de la Junta Local Ejecutiva en el estado de </w:t>
      </w:r>
      <w:r w:rsidR="00483A4A" w:rsidRPr="006B0BEF">
        <w:rPr>
          <w:rFonts w:ascii="Arial" w:hAnsi="Arial" w:cs="Arial"/>
        </w:rPr>
        <w:t>Aguascalientes</w:t>
      </w:r>
      <w:r w:rsidRPr="006B0BEF">
        <w:rPr>
          <w:rFonts w:ascii="Arial" w:hAnsi="Arial" w:cs="Arial"/>
        </w:rPr>
        <w:t>, comunique el presente Acuerdo al Organismo Público Local Electoral de la entidad, para los efectos legales a que haya lugar.</w:t>
      </w:r>
      <w:r>
        <w:rPr>
          <w:rFonts w:ascii="Arial" w:hAnsi="Arial" w:cs="Arial"/>
        </w:rPr>
        <w:t xml:space="preserve"> </w:t>
      </w:r>
    </w:p>
    <w:p w:rsidR="009E05C6" w:rsidRPr="009E05C6" w:rsidRDefault="009E05C6" w:rsidP="009E05C6">
      <w:pPr>
        <w:jc w:val="both"/>
        <w:rPr>
          <w:rFonts w:ascii="Arial" w:hAnsi="Arial" w:cs="Arial"/>
        </w:rPr>
      </w:pPr>
    </w:p>
    <w:p w:rsidR="009E05C6" w:rsidRDefault="009E05C6" w:rsidP="009E05C6">
      <w:pPr>
        <w:jc w:val="both"/>
        <w:rPr>
          <w:rFonts w:ascii="Arial" w:eastAsiaTheme="minorHAnsi" w:hAnsi="Arial" w:cstheme="minorBidi"/>
          <w:szCs w:val="22"/>
          <w:lang w:val="es-MX" w:eastAsia="en-US"/>
        </w:rPr>
      </w:pPr>
      <w:r w:rsidRPr="009E05C6">
        <w:rPr>
          <w:rFonts w:ascii="Arial" w:eastAsiaTheme="minorHAnsi" w:hAnsi="Arial" w:cstheme="minorBidi"/>
          <w:szCs w:val="22"/>
          <w:lang w:val="es-MX" w:eastAsia="en-US"/>
        </w:rPr>
        <w:t>El presente Acuerdo fue aprobado en la</w:t>
      </w:r>
      <w:r>
        <w:rPr>
          <w:rFonts w:ascii="Arial" w:eastAsiaTheme="minorHAnsi" w:hAnsi="Arial" w:cstheme="minorBidi"/>
          <w:szCs w:val="22"/>
          <w:lang w:val="es-MX" w:eastAsia="en-US"/>
        </w:rPr>
        <w:t xml:space="preserve"> Primera Sesión Ordinaria</w:t>
      </w:r>
      <w:r w:rsidRPr="009E05C6">
        <w:rPr>
          <w:rFonts w:ascii="Arial" w:eastAsiaTheme="minorHAnsi" w:hAnsi="Arial" w:cstheme="minorBidi"/>
          <w:szCs w:val="22"/>
          <w:lang w:val="es-MX" w:eastAsia="en-US"/>
        </w:rPr>
        <w:t xml:space="preserve"> del Comité de Radio y Televisión, celebrada el </w:t>
      </w:r>
      <w:r>
        <w:rPr>
          <w:rFonts w:ascii="Arial" w:eastAsiaTheme="minorHAnsi" w:hAnsi="Arial" w:cstheme="minorBidi"/>
          <w:szCs w:val="22"/>
          <w:lang w:val="es-MX" w:eastAsia="en-US"/>
        </w:rPr>
        <w:t>veint</w:t>
      </w:r>
      <w:r w:rsidRPr="009E05C6">
        <w:rPr>
          <w:rFonts w:ascii="Arial" w:eastAsiaTheme="minorHAnsi" w:hAnsi="Arial" w:cstheme="minorBidi"/>
          <w:szCs w:val="22"/>
          <w:lang w:val="es-MX" w:eastAsia="en-US"/>
        </w:rPr>
        <w:t xml:space="preserve">inueve de enero de dos mil dieciocho, por la votación unánime del Presidente del Comité, Consejero Electoral Doctor Benito </w:t>
      </w:r>
      <w:proofErr w:type="spellStart"/>
      <w:r w:rsidRPr="009E05C6">
        <w:rPr>
          <w:rFonts w:ascii="Arial" w:eastAsiaTheme="minorHAnsi" w:hAnsi="Arial" w:cstheme="minorBidi"/>
          <w:szCs w:val="22"/>
          <w:lang w:val="es-MX" w:eastAsia="en-US"/>
        </w:rPr>
        <w:t>Nacif</w:t>
      </w:r>
      <w:proofErr w:type="spellEnd"/>
      <w:r w:rsidRPr="009E05C6">
        <w:rPr>
          <w:rFonts w:ascii="Arial" w:eastAsiaTheme="minorHAnsi" w:hAnsi="Arial" w:cstheme="minorBidi"/>
          <w:szCs w:val="22"/>
          <w:lang w:val="es-MX" w:eastAsia="en-US"/>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Nueva Alianza; con el voto en contra de </w:t>
      </w:r>
      <w:r w:rsidR="00905E0E">
        <w:rPr>
          <w:rFonts w:ascii="Arial" w:eastAsiaTheme="minorHAnsi" w:hAnsi="Arial" w:cstheme="minorBidi"/>
          <w:szCs w:val="22"/>
          <w:lang w:val="es-MX" w:eastAsia="en-US"/>
        </w:rPr>
        <w:t xml:space="preserve">los </w:t>
      </w:r>
      <w:r w:rsidRPr="009E05C6">
        <w:rPr>
          <w:rFonts w:ascii="Arial" w:eastAsiaTheme="minorHAnsi" w:hAnsi="Arial" w:cstheme="minorBidi"/>
          <w:szCs w:val="22"/>
          <w:lang w:val="es-MX" w:eastAsia="en-US"/>
        </w:rPr>
        <w:t>representante</w:t>
      </w:r>
      <w:r w:rsidR="00905E0E">
        <w:rPr>
          <w:rFonts w:ascii="Arial" w:eastAsiaTheme="minorHAnsi" w:hAnsi="Arial" w:cstheme="minorBidi"/>
          <w:szCs w:val="22"/>
          <w:lang w:val="es-MX" w:eastAsia="en-US"/>
        </w:rPr>
        <w:t>s</w:t>
      </w:r>
      <w:r w:rsidRPr="009E05C6">
        <w:rPr>
          <w:rFonts w:ascii="Arial" w:eastAsiaTheme="minorHAnsi" w:hAnsi="Arial" w:cstheme="minorBidi"/>
          <w:szCs w:val="22"/>
          <w:lang w:val="es-MX" w:eastAsia="en-US"/>
        </w:rPr>
        <w:t xml:space="preserve"> de los partidos Movimiento Ciudadano</w:t>
      </w:r>
      <w:r w:rsidR="00905E0E">
        <w:rPr>
          <w:rFonts w:ascii="Arial" w:eastAsiaTheme="minorHAnsi" w:hAnsi="Arial" w:cstheme="minorBidi"/>
          <w:szCs w:val="22"/>
          <w:lang w:val="es-MX" w:eastAsia="en-US"/>
        </w:rPr>
        <w:t xml:space="preserve">, del Trabajo </w:t>
      </w:r>
      <w:r w:rsidR="00905E0E" w:rsidRPr="009E05C6">
        <w:rPr>
          <w:rFonts w:ascii="Arial" w:eastAsiaTheme="minorHAnsi" w:hAnsi="Arial" w:cstheme="minorBidi"/>
          <w:szCs w:val="22"/>
          <w:lang w:val="es-MX" w:eastAsia="en-US"/>
        </w:rPr>
        <w:t>y Encuentro Social</w:t>
      </w:r>
      <w:r w:rsidRPr="009E05C6">
        <w:rPr>
          <w:rFonts w:ascii="Arial" w:eastAsiaTheme="minorHAnsi" w:hAnsi="Arial" w:cstheme="minorBidi"/>
          <w:szCs w:val="22"/>
          <w:lang w:val="es-MX" w:eastAsia="en-US"/>
        </w:rPr>
        <w:t>, todas y todos ellos presentes en la sesión.</w:t>
      </w:r>
    </w:p>
    <w:p w:rsidR="00C47568" w:rsidRPr="009E05C6" w:rsidRDefault="00C47568" w:rsidP="009E05C6">
      <w:pPr>
        <w:jc w:val="both"/>
        <w:rPr>
          <w:rFonts w:ascii="Arial" w:eastAsiaTheme="minorHAnsi" w:hAnsi="Arial" w:cstheme="minorBidi"/>
          <w:szCs w:val="22"/>
          <w:lang w:val="es-MX" w:eastAsia="en-US"/>
        </w:rPr>
      </w:pPr>
      <w:bookmarkStart w:id="0" w:name="_GoBack"/>
      <w:bookmarkEnd w:id="0"/>
    </w:p>
    <w:p w:rsidR="009E05C6" w:rsidRPr="009E05C6" w:rsidRDefault="009E05C6" w:rsidP="009E05C6">
      <w:pPr>
        <w:spacing w:line="276" w:lineRule="auto"/>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9E05C6" w:rsidRPr="009E05C6" w:rsidTr="001A775F">
        <w:trPr>
          <w:jc w:val="center"/>
        </w:trPr>
        <w:tc>
          <w:tcPr>
            <w:tcW w:w="2405" w:type="pct"/>
          </w:tcPr>
          <w:p w:rsidR="009E05C6" w:rsidRPr="009E05C6" w:rsidRDefault="009E05C6" w:rsidP="009E05C6">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9E05C6">
              <w:rPr>
                <w:rFonts w:ascii="Arial" w:eastAsia="Calibri" w:hAnsi="Arial" w:cs="Arial"/>
                <w:b/>
                <w:lang w:val="es-ES_tradnl" w:eastAsia="ja-JP"/>
              </w:rPr>
              <w:t>EL PRESIDENTE</w:t>
            </w:r>
          </w:p>
          <w:p w:rsidR="009E05C6" w:rsidRPr="009E05C6" w:rsidRDefault="009E05C6" w:rsidP="009E05C6">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9E05C6">
              <w:rPr>
                <w:rFonts w:ascii="Arial" w:eastAsia="Calibri" w:hAnsi="Arial" w:cs="Arial"/>
                <w:b/>
                <w:lang w:val="es-ES_tradnl" w:eastAsia="ja-JP"/>
              </w:rPr>
              <w:t>DEL COMITÉ DE RADIO Y TELEVISIÓN</w:t>
            </w:r>
          </w:p>
          <w:p w:rsidR="009E05C6" w:rsidRPr="009E05C6" w:rsidRDefault="009E05C6" w:rsidP="009E05C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E05C6" w:rsidRPr="009E05C6" w:rsidRDefault="009E05C6" w:rsidP="009E05C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E05C6" w:rsidRPr="009E05C6" w:rsidRDefault="009E05C6" w:rsidP="009E05C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E05C6" w:rsidRPr="009E05C6" w:rsidRDefault="009E05C6" w:rsidP="009E05C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E05C6" w:rsidRPr="009E05C6" w:rsidRDefault="009E05C6" w:rsidP="009E05C6">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E05C6" w:rsidRPr="009E05C6" w:rsidRDefault="009E05C6" w:rsidP="009E05C6">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9E05C6">
              <w:rPr>
                <w:rFonts w:ascii="Arial" w:eastAsia="Calibri" w:hAnsi="Arial" w:cs="Arial"/>
                <w:b/>
                <w:spacing w:val="-4"/>
                <w:lang w:val="es-ES_tradnl" w:eastAsia="ja-JP"/>
              </w:rPr>
              <w:t>DR. BENITO NACIF HERNÁNDEZ</w:t>
            </w:r>
          </w:p>
        </w:tc>
        <w:tc>
          <w:tcPr>
            <w:tcW w:w="2595" w:type="pct"/>
            <w:vAlign w:val="center"/>
          </w:tcPr>
          <w:p w:rsidR="009E05C6" w:rsidRPr="009E05C6" w:rsidRDefault="009E05C6" w:rsidP="009E05C6">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9E05C6">
              <w:rPr>
                <w:rFonts w:ascii="Arial" w:eastAsia="Calibri" w:hAnsi="Arial" w:cs="Arial"/>
                <w:b/>
                <w:lang w:val="es-ES_tradnl" w:eastAsia="ja-JP"/>
              </w:rPr>
              <w:t>EL SECRETARIO TÉCNICO</w:t>
            </w:r>
          </w:p>
          <w:p w:rsidR="009E05C6" w:rsidRPr="009E05C6" w:rsidRDefault="009E05C6" w:rsidP="009E05C6">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9E05C6">
              <w:rPr>
                <w:rFonts w:ascii="Arial" w:eastAsia="Calibri" w:hAnsi="Arial" w:cs="Arial"/>
                <w:b/>
                <w:lang w:val="es-ES_tradnl" w:eastAsia="ja-JP"/>
              </w:rPr>
              <w:t>DEL COMITÉ DE RADIO Y TELEVISIÓN</w:t>
            </w:r>
          </w:p>
          <w:p w:rsidR="009E05C6" w:rsidRPr="009E05C6" w:rsidRDefault="009E05C6" w:rsidP="009E05C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E05C6" w:rsidRPr="009E05C6" w:rsidRDefault="009E05C6" w:rsidP="009E05C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E05C6" w:rsidRPr="009E05C6" w:rsidRDefault="009E05C6" w:rsidP="009E05C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E05C6" w:rsidRPr="009E05C6" w:rsidRDefault="009E05C6" w:rsidP="009E05C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E05C6" w:rsidRPr="009E05C6" w:rsidRDefault="009E05C6" w:rsidP="009E05C6">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E05C6" w:rsidRPr="009E05C6" w:rsidRDefault="009E05C6" w:rsidP="009E05C6">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9E05C6">
              <w:rPr>
                <w:rFonts w:ascii="Arial" w:eastAsia="Calibri" w:hAnsi="Arial" w:cs="Arial"/>
                <w:b/>
                <w:spacing w:val="-4"/>
                <w:lang w:val="es-ES_tradnl" w:eastAsia="ja-JP"/>
              </w:rPr>
              <w:t>MTRO. PATRICIO BALLADOS VILLAGÓMEZ</w:t>
            </w:r>
          </w:p>
        </w:tc>
      </w:tr>
    </w:tbl>
    <w:p w:rsidR="009E05C6" w:rsidRPr="009E05C6" w:rsidRDefault="009E05C6" w:rsidP="009E05C6">
      <w:pPr>
        <w:jc w:val="both"/>
        <w:rPr>
          <w:rFonts w:ascii="Arial" w:eastAsiaTheme="minorHAnsi" w:hAnsi="Arial" w:cstheme="minorBidi"/>
          <w:szCs w:val="22"/>
          <w:lang w:val="es-MX" w:eastAsia="en-US"/>
        </w:rPr>
      </w:pPr>
    </w:p>
    <w:sectPr w:rsidR="009E05C6" w:rsidRPr="009E05C6" w:rsidSect="00506277">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07C4" w:rsidRDefault="001707C4">
      <w:r>
        <w:separator/>
      </w:r>
    </w:p>
  </w:endnote>
  <w:endnote w:type="continuationSeparator" w:id="0">
    <w:p w:rsidR="001707C4" w:rsidRDefault="001707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5941563"/>
      <w:docPartObj>
        <w:docPartGallery w:val="Page Numbers (Bottom of Page)"/>
        <w:docPartUnique/>
      </w:docPartObj>
    </w:sdtPr>
    <w:sdtEndPr>
      <w:rPr>
        <w:rFonts w:ascii="Arial" w:hAnsi="Arial" w:cs="Arial"/>
        <w:sz w:val="20"/>
        <w:szCs w:val="20"/>
      </w:rPr>
    </w:sdtEndPr>
    <w:sdtContent>
      <w:p w:rsidR="00EC0E11" w:rsidRPr="00506277" w:rsidRDefault="00753C87">
        <w:pPr>
          <w:pStyle w:val="Piedepgina"/>
          <w:jc w:val="right"/>
          <w:rPr>
            <w:rFonts w:ascii="Arial" w:hAnsi="Arial" w:cs="Arial"/>
            <w:sz w:val="20"/>
            <w:szCs w:val="20"/>
          </w:rPr>
        </w:pPr>
        <w:r w:rsidRPr="00506277">
          <w:rPr>
            <w:rFonts w:ascii="Arial" w:hAnsi="Arial" w:cs="Arial"/>
            <w:sz w:val="20"/>
            <w:szCs w:val="20"/>
          </w:rPr>
          <w:fldChar w:fldCharType="begin"/>
        </w:r>
        <w:r w:rsidRPr="00506277">
          <w:rPr>
            <w:rFonts w:ascii="Arial" w:hAnsi="Arial" w:cs="Arial"/>
            <w:sz w:val="20"/>
            <w:szCs w:val="20"/>
          </w:rPr>
          <w:instrText>PAGE   \* MERGEFORMAT</w:instrText>
        </w:r>
        <w:r w:rsidRPr="00506277">
          <w:rPr>
            <w:rFonts w:ascii="Arial" w:hAnsi="Arial" w:cs="Arial"/>
            <w:sz w:val="20"/>
            <w:szCs w:val="20"/>
          </w:rPr>
          <w:fldChar w:fldCharType="separate"/>
        </w:r>
        <w:r w:rsidR="00C47568">
          <w:rPr>
            <w:rFonts w:ascii="Arial" w:hAnsi="Arial" w:cs="Arial"/>
            <w:noProof/>
            <w:sz w:val="20"/>
            <w:szCs w:val="20"/>
          </w:rPr>
          <w:t>10</w:t>
        </w:r>
        <w:r w:rsidRPr="00506277">
          <w:rPr>
            <w:rFonts w:ascii="Arial" w:hAnsi="Arial" w:cs="Arial"/>
            <w:sz w:val="20"/>
            <w:szCs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07C4" w:rsidRDefault="001707C4">
      <w:r>
        <w:separator/>
      </w:r>
    </w:p>
  </w:footnote>
  <w:footnote w:type="continuationSeparator" w:id="0">
    <w:p w:rsidR="001707C4" w:rsidRDefault="001707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0E8B" w:rsidRDefault="002C0E8B" w:rsidP="002C0E8B">
    <w:pPr>
      <w:pStyle w:val="Encabezado"/>
      <w:jc w:val="right"/>
      <w:rPr>
        <w:rFonts w:ascii="Arial" w:hAnsi="Arial" w:cs="Arial"/>
        <w:b/>
      </w:rPr>
    </w:pPr>
  </w:p>
  <w:p w:rsidR="002C0E8B" w:rsidRDefault="002C0E8B" w:rsidP="002C0E8B">
    <w:pPr>
      <w:pStyle w:val="Encabezado"/>
      <w:jc w:val="right"/>
      <w:rPr>
        <w:rFonts w:ascii="Arial" w:hAnsi="Arial" w:cs="Arial"/>
        <w:b/>
      </w:rPr>
    </w:pPr>
  </w:p>
  <w:p w:rsidR="002C0E8B" w:rsidRDefault="002C0E8B" w:rsidP="002C0E8B">
    <w:pPr>
      <w:pStyle w:val="Encabezado"/>
      <w:jc w:val="right"/>
      <w:rPr>
        <w:rFonts w:ascii="Arial" w:hAnsi="Arial" w:cs="Arial"/>
        <w:b/>
      </w:rPr>
    </w:pPr>
  </w:p>
  <w:p w:rsidR="002C0E8B" w:rsidRDefault="002C0E8B" w:rsidP="002C0E8B">
    <w:pPr>
      <w:pStyle w:val="Encabezado"/>
      <w:jc w:val="right"/>
      <w:rPr>
        <w:rFonts w:ascii="Arial" w:hAnsi="Arial" w:cs="Arial"/>
        <w:b/>
      </w:rPr>
    </w:pPr>
  </w:p>
  <w:p w:rsidR="002C0E8B" w:rsidRDefault="002C0E8B" w:rsidP="002C0E8B">
    <w:pPr>
      <w:pStyle w:val="Encabezado"/>
      <w:jc w:val="right"/>
      <w:rPr>
        <w:rFonts w:ascii="Arial" w:hAnsi="Arial" w:cs="Arial"/>
        <w:b/>
      </w:rPr>
    </w:pPr>
    <w:r w:rsidRPr="002C0E8B">
      <w:rPr>
        <w:rFonts w:ascii="Arial" w:hAnsi="Arial" w:cs="Arial"/>
        <w:b/>
      </w:rPr>
      <w:t>INE/ACRT/37/2018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0E8B" w:rsidRDefault="002C0E8B" w:rsidP="002C0E8B">
    <w:pPr>
      <w:pStyle w:val="Encabezado"/>
      <w:jc w:val="right"/>
      <w:rPr>
        <w:rFonts w:ascii="Arial" w:hAnsi="Arial" w:cs="Arial"/>
        <w:b/>
      </w:rPr>
    </w:pPr>
  </w:p>
  <w:p w:rsidR="002C0E8B" w:rsidRDefault="002C0E8B" w:rsidP="002C0E8B">
    <w:pPr>
      <w:pStyle w:val="Encabezado"/>
      <w:jc w:val="right"/>
      <w:rPr>
        <w:rFonts w:ascii="Arial" w:hAnsi="Arial" w:cs="Arial"/>
        <w:b/>
      </w:rPr>
    </w:pPr>
  </w:p>
  <w:p w:rsidR="002C0E8B" w:rsidRDefault="002C0E8B" w:rsidP="002C0E8B">
    <w:pPr>
      <w:pStyle w:val="Encabezado"/>
      <w:jc w:val="right"/>
      <w:rPr>
        <w:rFonts w:ascii="Arial" w:hAnsi="Arial" w:cs="Arial"/>
        <w:b/>
      </w:rPr>
    </w:pPr>
  </w:p>
  <w:p w:rsidR="002C0E8B" w:rsidRDefault="002C0E8B" w:rsidP="002C0E8B">
    <w:pPr>
      <w:pStyle w:val="Encabezado"/>
      <w:jc w:val="right"/>
      <w:rPr>
        <w:rFonts w:ascii="Arial" w:hAnsi="Arial" w:cs="Arial"/>
        <w:b/>
      </w:rPr>
    </w:pPr>
    <w:r w:rsidRPr="002C0E8B">
      <w:rPr>
        <w:rFonts w:ascii="Arial" w:hAnsi="Arial" w:cs="Arial"/>
        <w:b/>
      </w:rPr>
      <w:t>INE/ACRT/37/2018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834C76C0"/>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342281C4">
      <w:start w:val="1"/>
      <w:numFmt w:val="lowerLetter"/>
      <w:lvlText w:val="%5)"/>
      <w:lvlJc w:val="left"/>
      <w:pPr>
        <w:ind w:left="8136" w:hanging="360"/>
      </w:pPr>
      <w:rPr>
        <w:rFonts w:hint="default"/>
      </w:r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1F611546"/>
    <w:multiLevelType w:val="hybridMultilevel"/>
    <w:tmpl w:val="D8F4B17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num w:numId="1">
    <w:abstractNumId w:val="2"/>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5D6"/>
    <w:rsid w:val="000526FE"/>
    <w:rsid w:val="000927A8"/>
    <w:rsid w:val="000B4197"/>
    <w:rsid w:val="00146965"/>
    <w:rsid w:val="001707C4"/>
    <w:rsid w:val="00182C46"/>
    <w:rsid w:val="001D71CD"/>
    <w:rsid w:val="001D7255"/>
    <w:rsid w:val="002C0DC8"/>
    <w:rsid w:val="002C0E8B"/>
    <w:rsid w:val="002C1022"/>
    <w:rsid w:val="002D25B6"/>
    <w:rsid w:val="002F0562"/>
    <w:rsid w:val="002F1194"/>
    <w:rsid w:val="00483A4A"/>
    <w:rsid w:val="004B44EE"/>
    <w:rsid w:val="00506277"/>
    <w:rsid w:val="005D411F"/>
    <w:rsid w:val="006B0BEF"/>
    <w:rsid w:val="00753C87"/>
    <w:rsid w:val="00807C29"/>
    <w:rsid w:val="00897421"/>
    <w:rsid w:val="008A11EE"/>
    <w:rsid w:val="00905E0E"/>
    <w:rsid w:val="009C575B"/>
    <w:rsid w:val="009E05C6"/>
    <w:rsid w:val="00AA0AC8"/>
    <w:rsid w:val="00B85369"/>
    <w:rsid w:val="00C0044C"/>
    <w:rsid w:val="00C2694B"/>
    <w:rsid w:val="00C47568"/>
    <w:rsid w:val="00CB13F8"/>
    <w:rsid w:val="00D86A63"/>
    <w:rsid w:val="00D94F37"/>
    <w:rsid w:val="00DA5AE0"/>
    <w:rsid w:val="00DA7747"/>
    <w:rsid w:val="00DE78A4"/>
    <w:rsid w:val="00E3709C"/>
    <w:rsid w:val="00E412F4"/>
    <w:rsid w:val="00E635D6"/>
    <w:rsid w:val="00F06251"/>
    <w:rsid w:val="00F12130"/>
    <w:rsid w:val="00F619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74D529-CDCD-43B6-99FB-92F7029BD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5D6"/>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PrrafodelistaCar">
    <w:name w:val="Párrafo de lista Car"/>
    <w:aliases w:val="CNBV Parrafo1 Car,Párrafo de lista1 Car"/>
    <w:link w:val="Prrafodelista"/>
    <w:uiPriority w:val="34"/>
    <w:locked/>
    <w:rsid w:val="00E635D6"/>
    <w:rPr>
      <w:rFonts w:ascii="Arial" w:eastAsia="Calibri" w:hAnsi="Arial" w:cs="Times New Roman"/>
      <w:sz w:val="24"/>
    </w:rPr>
  </w:style>
  <w:style w:type="paragraph" w:styleId="Prrafodelista">
    <w:name w:val="List Paragraph"/>
    <w:aliases w:val="CNBV Parrafo1,Párrafo de lista1"/>
    <w:basedOn w:val="Normal"/>
    <w:link w:val="PrrafodelistaCar"/>
    <w:uiPriority w:val="34"/>
    <w:qFormat/>
    <w:rsid w:val="00E635D6"/>
    <w:pPr>
      <w:ind w:left="708"/>
      <w:jc w:val="both"/>
    </w:pPr>
    <w:rPr>
      <w:rFonts w:ascii="Arial" w:eastAsia="Calibri" w:hAnsi="Arial"/>
    </w:rPr>
  </w:style>
  <w:style w:type="table" w:styleId="Tablaconcuadrcula">
    <w:name w:val="Table Grid"/>
    <w:basedOn w:val="Tablanormal"/>
    <w:uiPriority w:val="59"/>
    <w:rsid w:val="00E635D6"/>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635D6"/>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E635D6"/>
    <w:rPr>
      <w:rFonts w:eastAsiaTheme="minorHAnsi"/>
      <w:lang w:val="es-MX" w:eastAsia="es-MX"/>
    </w:rPr>
  </w:style>
  <w:style w:type="paragraph" w:styleId="Piedepgina">
    <w:name w:val="footer"/>
    <w:basedOn w:val="Normal"/>
    <w:link w:val="PiedepginaCar"/>
    <w:uiPriority w:val="99"/>
    <w:unhideWhenUsed/>
    <w:rsid w:val="00E635D6"/>
    <w:pPr>
      <w:tabs>
        <w:tab w:val="center" w:pos="4419"/>
        <w:tab w:val="right" w:pos="8838"/>
      </w:tabs>
    </w:pPr>
  </w:style>
  <w:style w:type="character" w:customStyle="1" w:styleId="PiedepginaCar">
    <w:name w:val="Pie de página Car"/>
    <w:basedOn w:val="Fuentedeprrafopredeter"/>
    <w:link w:val="Piedepgina"/>
    <w:uiPriority w:val="99"/>
    <w:rsid w:val="00E635D6"/>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F0625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06251"/>
    <w:rPr>
      <w:rFonts w:ascii="Segoe UI" w:eastAsia="Times New Roman" w:hAnsi="Segoe UI" w:cs="Segoe UI"/>
      <w:sz w:val="18"/>
      <w:szCs w:val="18"/>
      <w:lang w:val="es-ES" w:eastAsia="es-ES"/>
    </w:rPr>
  </w:style>
  <w:style w:type="paragraph" w:styleId="Encabezado">
    <w:name w:val="header"/>
    <w:basedOn w:val="Normal"/>
    <w:link w:val="EncabezadoCar"/>
    <w:uiPriority w:val="99"/>
    <w:unhideWhenUsed/>
    <w:rsid w:val="00506277"/>
    <w:pPr>
      <w:tabs>
        <w:tab w:val="center" w:pos="4419"/>
        <w:tab w:val="right" w:pos="8838"/>
      </w:tabs>
    </w:pPr>
  </w:style>
  <w:style w:type="character" w:customStyle="1" w:styleId="EncabezadoCar">
    <w:name w:val="Encabezado Car"/>
    <w:basedOn w:val="Fuentedeprrafopredeter"/>
    <w:link w:val="Encabezado"/>
    <w:uiPriority w:val="99"/>
    <w:rsid w:val="00506277"/>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2712196">
      <w:bodyDiv w:val="1"/>
      <w:marLeft w:val="0"/>
      <w:marRight w:val="0"/>
      <w:marTop w:val="0"/>
      <w:marBottom w:val="0"/>
      <w:divBdr>
        <w:top w:val="none" w:sz="0" w:space="0" w:color="auto"/>
        <w:left w:val="none" w:sz="0" w:space="0" w:color="auto"/>
        <w:bottom w:val="none" w:sz="0" w:space="0" w:color="auto"/>
        <w:right w:val="none" w:sz="0" w:space="0" w:color="auto"/>
      </w:divBdr>
    </w:div>
    <w:div w:id="2106269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10</Pages>
  <Words>3674</Words>
  <Characters>20208</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23835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4</cp:revision>
  <dcterms:created xsi:type="dcterms:W3CDTF">2018-01-29T21:43:00Z</dcterms:created>
  <dcterms:modified xsi:type="dcterms:W3CDTF">2018-01-29T22:35:00Z</dcterms:modified>
</cp:coreProperties>
</file>