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6C8C" w:rsidRDefault="00A46C8C" w:rsidP="006A4922">
      <w:pPr>
        <w:jc w:val="both"/>
        <w:rPr>
          <w:rFonts w:ascii="Arial" w:hAnsi="Arial" w:cs="Arial"/>
          <w:b/>
          <w:bCs/>
        </w:rPr>
      </w:pPr>
    </w:p>
    <w:p w:rsidR="006A4922" w:rsidRPr="006A4922" w:rsidRDefault="006A4922" w:rsidP="006A4922">
      <w:pPr>
        <w:jc w:val="both"/>
        <w:rPr>
          <w:rFonts w:ascii="Arial" w:hAnsi="Arial" w:cs="Arial"/>
          <w:b/>
          <w:bCs/>
        </w:rPr>
      </w:pPr>
      <w:r w:rsidRPr="006A4922">
        <w:rPr>
          <w:rFonts w:ascii="Arial" w:hAnsi="Arial" w:cs="Arial"/>
          <w:b/>
          <w:bCs/>
        </w:rPr>
        <w:t>ACUERDO DEL COMITÉ DE RADIO Y TELEVISIÓN DEL INSTITUTO NACIONAL ELECTORAL POR EL QUE SE MODIFICA EL ACUERDO IDENTIFICADO COMO INE/ACRT/31/2018 CON MOTIVO DEL REGISTRO DEL PARTIDO POLÍTICO LOCAL MOVIMIENTO DIGNIDAD ZACATECAS, EN LOS MODELOS DE DISTRIBUCIÓN Y PAUTAS PARA EL PERIODO DE INTERCAMPAÑA DEL PROCESO ELECTORAL LOCAL 2017-2018, COINCIDENTE CON EL PROCESO ELECTORAL FEDERAL 2017-2018, EN EL ESTADO DE ZACATECAS</w:t>
      </w:r>
    </w:p>
    <w:p w:rsidR="006A4922" w:rsidRPr="006A4922" w:rsidRDefault="006A4922" w:rsidP="006A4922">
      <w:pPr>
        <w:jc w:val="both"/>
        <w:rPr>
          <w:rFonts w:ascii="Arial" w:hAnsi="Arial" w:cs="Arial"/>
          <w:b/>
          <w:bCs/>
        </w:rPr>
      </w:pPr>
    </w:p>
    <w:p w:rsidR="006A4922" w:rsidRPr="006A4922" w:rsidRDefault="006A4922" w:rsidP="006A4922">
      <w:pPr>
        <w:autoSpaceDE w:val="0"/>
        <w:autoSpaceDN w:val="0"/>
        <w:adjustRightInd w:val="0"/>
        <w:jc w:val="center"/>
        <w:rPr>
          <w:rFonts w:ascii="Arial,Bold" w:hAnsi="Arial,Bold" w:cs="Arial,Bold"/>
          <w:b/>
          <w:bCs/>
        </w:rPr>
      </w:pPr>
      <w:r w:rsidRPr="006A4922">
        <w:rPr>
          <w:rFonts w:ascii="Arial,Bold" w:hAnsi="Arial,Bold" w:cs="Arial,Bold"/>
          <w:b/>
          <w:bCs/>
        </w:rPr>
        <w:t>A n t e c e d e n t e s</w:t>
      </w:r>
    </w:p>
    <w:p w:rsidR="006A4922" w:rsidRDefault="006A4922" w:rsidP="006A4922">
      <w:pPr>
        <w:autoSpaceDE w:val="0"/>
        <w:autoSpaceDN w:val="0"/>
        <w:adjustRightInd w:val="0"/>
        <w:jc w:val="center"/>
        <w:rPr>
          <w:rFonts w:ascii="Arial,Bold" w:hAnsi="Arial,Bold" w:cs="Arial,Bold"/>
          <w:b/>
          <w:bCs/>
        </w:rPr>
      </w:pPr>
    </w:p>
    <w:p w:rsidR="001A2CD4" w:rsidRDefault="001A2CD4" w:rsidP="006A4922">
      <w:pPr>
        <w:autoSpaceDE w:val="0"/>
        <w:autoSpaceDN w:val="0"/>
        <w:adjustRightInd w:val="0"/>
        <w:jc w:val="center"/>
        <w:rPr>
          <w:rFonts w:ascii="Arial,Bold" w:hAnsi="Arial,Bold" w:cs="Arial,Bold"/>
          <w:b/>
          <w:bCs/>
        </w:rPr>
      </w:pPr>
    </w:p>
    <w:p w:rsidR="003A173B" w:rsidRPr="006A4922" w:rsidRDefault="003A173B" w:rsidP="006A4922">
      <w:pPr>
        <w:autoSpaceDE w:val="0"/>
        <w:autoSpaceDN w:val="0"/>
        <w:adjustRightInd w:val="0"/>
        <w:jc w:val="center"/>
        <w:rPr>
          <w:rFonts w:ascii="Arial,Bold" w:hAnsi="Arial,Bold" w:cs="Arial,Bold"/>
          <w:b/>
          <w:bCs/>
        </w:rPr>
      </w:pPr>
    </w:p>
    <w:p w:rsidR="006A4922" w:rsidRPr="006A4922" w:rsidRDefault="006A4922" w:rsidP="006A4922">
      <w:pPr>
        <w:pStyle w:val="Prrafodelista"/>
        <w:numPr>
          <w:ilvl w:val="0"/>
          <w:numId w:val="2"/>
        </w:numPr>
        <w:autoSpaceDE w:val="0"/>
        <w:autoSpaceDN w:val="0"/>
        <w:adjustRightInd w:val="0"/>
        <w:ind w:left="567" w:hanging="709"/>
        <w:jc w:val="both"/>
        <w:rPr>
          <w:rFonts w:ascii="Arial" w:hAnsi="Arial" w:cs="Arial"/>
        </w:rPr>
      </w:pPr>
      <w:r w:rsidRPr="006A4922">
        <w:rPr>
          <w:rFonts w:ascii="Arial" w:hAnsi="Arial" w:cs="Arial"/>
          <w:b/>
        </w:rPr>
        <w:t xml:space="preserve">Inicio del Proceso Electoral Federal 2017-2018. </w:t>
      </w:r>
      <w:r w:rsidRPr="006A4922">
        <w:rPr>
          <w:rFonts w:ascii="Arial" w:hAnsi="Arial" w:cs="Arial"/>
        </w:rPr>
        <w:t>Mediante sesión extraordinaria del Consejo General del Instituto Nacional Electoral, celebrada el ocho de septiembre de dos mil diecisiete, dio inicio formalmente el Proceso Electoral Federal 2017-2018.</w:t>
      </w:r>
    </w:p>
    <w:p w:rsidR="006A4922" w:rsidRPr="006A4922" w:rsidRDefault="006A4922" w:rsidP="006A4922">
      <w:pPr>
        <w:autoSpaceDE w:val="0"/>
        <w:autoSpaceDN w:val="0"/>
        <w:adjustRightInd w:val="0"/>
        <w:jc w:val="both"/>
        <w:rPr>
          <w:rFonts w:ascii="Arial" w:hAnsi="Arial" w:cs="Arial"/>
        </w:rPr>
      </w:pPr>
    </w:p>
    <w:p w:rsidR="006A4922" w:rsidRPr="006A4922" w:rsidRDefault="006A4922" w:rsidP="006A4922">
      <w:pPr>
        <w:pStyle w:val="Prrafodelista"/>
        <w:numPr>
          <w:ilvl w:val="0"/>
          <w:numId w:val="2"/>
        </w:numPr>
        <w:autoSpaceDE w:val="0"/>
        <w:autoSpaceDN w:val="0"/>
        <w:adjustRightInd w:val="0"/>
        <w:ind w:left="567" w:hanging="709"/>
        <w:jc w:val="both"/>
        <w:rPr>
          <w:rFonts w:ascii="Arial" w:hAnsi="Arial" w:cs="Arial"/>
        </w:rPr>
      </w:pPr>
      <w:r w:rsidRPr="006A4922">
        <w:rPr>
          <w:rFonts w:ascii="Arial" w:hAnsi="Arial" w:cs="Arial"/>
          <w:b/>
        </w:rPr>
        <w:t>Términos y condiciones de la entrega de materiales y elaboración de órdenes de transmisión, 2018</w:t>
      </w:r>
      <w:r w:rsidRPr="006A4922">
        <w:rPr>
          <w:rFonts w:ascii="Arial" w:hAnsi="Arial" w:cs="Arial"/>
        </w:rPr>
        <w:t xml:space="preserve">. El doce de octubre de dos mil diecisiete en la Novena Sesión Ordinaria del Comité de Radio y Televisión, se aprobó el </w:t>
      </w:r>
      <w:r w:rsidRPr="006A4922">
        <w:rPr>
          <w:rFonts w:ascii="Arial" w:hAnsi="Arial" w:cs="Arial"/>
          <w:i/>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6A4922">
        <w:rPr>
          <w:rFonts w:ascii="Arial" w:hAnsi="Arial" w:cs="Arial"/>
        </w:rPr>
        <w:t>, identificado como INE/ACRT/22/2017.</w:t>
      </w:r>
    </w:p>
    <w:p w:rsidR="006A4922" w:rsidRPr="006A4922" w:rsidRDefault="006A4922" w:rsidP="006A4922">
      <w:pPr>
        <w:pStyle w:val="Prrafodelista"/>
        <w:autoSpaceDE w:val="0"/>
        <w:autoSpaceDN w:val="0"/>
        <w:adjustRightInd w:val="0"/>
        <w:ind w:left="567"/>
        <w:jc w:val="both"/>
        <w:rPr>
          <w:rFonts w:ascii="Arial" w:hAnsi="Arial" w:cs="Arial"/>
        </w:rPr>
      </w:pPr>
    </w:p>
    <w:p w:rsidR="006A4922" w:rsidRPr="006A4922" w:rsidRDefault="006A4922" w:rsidP="006A4922">
      <w:pPr>
        <w:pStyle w:val="Prrafodelista"/>
        <w:numPr>
          <w:ilvl w:val="0"/>
          <w:numId w:val="1"/>
        </w:numPr>
        <w:autoSpaceDE w:val="0"/>
        <w:autoSpaceDN w:val="0"/>
        <w:adjustRightInd w:val="0"/>
        <w:ind w:left="567"/>
        <w:jc w:val="both"/>
        <w:rPr>
          <w:rFonts w:ascii="Arial" w:hAnsi="Arial" w:cs="Arial"/>
        </w:rPr>
      </w:pPr>
      <w:r w:rsidRPr="006A4922">
        <w:rPr>
          <w:rFonts w:ascii="Arial" w:hAnsi="Arial" w:cs="Arial"/>
          <w:b/>
        </w:rPr>
        <w:t xml:space="preserve">Aprobación de propuesta de pautado por parte del OPLE. </w:t>
      </w:r>
      <w:r w:rsidRPr="006A4922">
        <w:rPr>
          <w:rFonts w:ascii="Arial" w:hAnsi="Arial" w:cs="Arial"/>
        </w:rPr>
        <w:t>El doce de octubre de dos mil diecisiete, el Consejo General del Instituto Electoral del Estado de Zacatecas</w:t>
      </w:r>
      <w:r w:rsidRPr="006A4922">
        <w:rPr>
          <w:rFonts w:ascii="Arial" w:hAnsi="Arial" w:cs="Arial"/>
          <w:i/>
        </w:rPr>
        <w:t xml:space="preserve">, </w:t>
      </w:r>
      <w:r w:rsidRPr="006A4922">
        <w:rPr>
          <w:rFonts w:ascii="Arial" w:hAnsi="Arial" w:cs="Arial"/>
        </w:rPr>
        <w:t>aprobó el “</w:t>
      </w:r>
      <w:r w:rsidRPr="006A4922">
        <w:rPr>
          <w:rFonts w:ascii="Arial" w:hAnsi="Arial" w:cs="Arial"/>
          <w:i/>
        </w:rPr>
        <w:t>Acuerdo</w:t>
      </w:r>
      <w:r w:rsidRPr="006A4922">
        <w:rPr>
          <w:rFonts w:ascii="Arial" w:hAnsi="Arial" w:cs="Arial"/>
        </w:rPr>
        <w:t xml:space="preserve"> […] </w:t>
      </w:r>
      <w:r w:rsidRPr="006A4922">
        <w:rPr>
          <w:rFonts w:ascii="Arial" w:hAnsi="Arial" w:cs="Arial"/>
          <w:i/>
        </w:rPr>
        <w:t xml:space="preserve">por el que se aprueban los modelos de distribución de pautado que serán propuestos al Comité de Radio y Televisión del Instituto Nacional Electoral, para el acceso de los partidos políticos a radio y televisión durante las precampañas, </w:t>
      </w:r>
      <w:proofErr w:type="spellStart"/>
      <w:r w:rsidRPr="006A4922">
        <w:rPr>
          <w:rFonts w:ascii="Arial" w:hAnsi="Arial" w:cs="Arial"/>
          <w:i/>
        </w:rPr>
        <w:t>intercampañas</w:t>
      </w:r>
      <w:proofErr w:type="spellEnd"/>
      <w:r w:rsidRPr="006A4922">
        <w:rPr>
          <w:rFonts w:ascii="Arial" w:hAnsi="Arial" w:cs="Arial"/>
          <w:i/>
        </w:rPr>
        <w:t xml:space="preserve"> y campañas electorales, así como de los candidatos independientes en el periodo de campañas electorales, para el proceso electoral ordinario 2017-2018”, </w:t>
      </w:r>
      <w:r w:rsidRPr="006A4922">
        <w:rPr>
          <w:rFonts w:ascii="Arial" w:hAnsi="Arial" w:cs="Arial"/>
        </w:rPr>
        <w:t>identificado como AG-IEEZ-042/VI/2017.</w:t>
      </w:r>
    </w:p>
    <w:p w:rsidR="006A4922" w:rsidRPr="006A4922" w:rsidRDefault="006A4922" w:rsidP="006A4922">
      <w:pPr>
        <w:pStyle w:val="Prrafodelista"/>
        <w:autoSpaceDE w:val="0"/>
        <w:autoSpaceDN w:val="0"/>
        <w:adjustRightInd w:val="0"/>
        <w:ind w:left="567"/>
        <w:jc w:val="both"/>
        <w:rPr>
          <w:rFonts w:ascii="Arial" w:hAnsi="Arial" w:cs="Arial"/>
        </w:rPr>
      </w:pPr>
    </w:p>
    <w:p w:rsidR="006A4922" w:rsidRPr="006A4922" w:rsidRDefault="006A4922" w:rsidP="006A4922">
      <w:pPr>
        <w:pStyle w:val="Prrafodelista"/>
        <w:numPr>
          <w:ilvl w:val="0"/>
          <w:numId w:val="2"/>
        </w:numPr>
        <w:autoSpaceDE w:val="0"/>
        <w:autoSpaceDN w:val="0"/>
        <w:adjustRightInd w:val="0"/>
        <w:ind w:left="567" w:hanging="709"/>
        <w:jc w:val="both"/>
        <w:rPr>
          <w:rFonts w:ascii="Arial" w:hAnsi="Arial" w:cs="Arial"/>
        </w:rPr>
      </w:pPr>
      <w:r w:rsidRPr="006A4922">
        <w:rPr>
          <w:rFonts w:ascii="Arial" w:hAnsi="Arial" w:cs="Arial"/>
          <w:b/>
        </w:rPr>
        <w:t>Aprobación de pautas de autoridades electorales del Proceso Electoral Federal 2017-2018 y locales coincidentes</w:t>
      </w:r>
      <w:r w:rsidRPr="006A4922">
        <w:rPr>
          <w:rFonts w:ascii="Arial" w:hAnsi="Arial" w:cs="Arial"/>
        </w:rPr>
        <w:t xml:space="preserve">. El dieciocho de octubre de dos mil diecisiete, en sesión extraordinaria de la Junta General Ejecutiva del Instituto Nacional Electoral, se aprobó el </w:t>
      </w:r>
      <w:r w:rsidRPr="006A4922">
        <w:rPr>
          <w:rFonts w:ascii="Arial" w:hAnsi="Arial" w:cs="Arial"/>
          <w:i/>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6A4922">
        <w:rPr>
          <w:rFonts w:ascii="Arial" w:hAnsi="Arial" w:cs="Arial"/>
        </w:rPr>
        <w:t>, identificado como INE/JGE177/2017.</w:t>
      </w:r>
    </w:p>
    <w:p w:rsidR="006A4922" w:rsidRPr="006A4922" w:rsidRDefault="006A4922" w:rsidP="006A4922">
      <w:pPr>
        <w:autoSpaceDE w:val="0"/>
        <w:autoSpaceDN w:val="0"/>
        <w:adjustRightInd w:val="0"/>
        <w:jc w:val="both"/>
        <w:rPr>
          <w:rFonts w:ascii="Arial" w:hAnsi="Arial" w:cs="Arial"/>
        </w:rPr>
      </w:pPr>
    </w:p>
    <w:p w:rsidR="006A4922" w:rsidRPr="006A4922" w:rsidRDefault="006A4922" w:rsidP="006A4922">
      <w:pPr>
        <w:pStyle w:val="Prrafodelista"/>
        <w:numPr>
          <w:ilvl w:val="0"/>
          <w:numId w:val="2"/>
        </w:numPr>
        <w:autoSpaceDE w:val="0"/>
        <w:autoSpaceDN w:val="0"/>
        <w:adjustRightInd w:val="0"/>
        <w:ind w:left="567" w:hanging="709"/>
        <w:jc w:val="both"/>
        <w:rPr>
          <w:rFonts w:ascii="Arial" w:hAnsi="Arial" w:cs="Arial"/>
        </w:rPr>
      </w:pPr>
      <w:r w:rsidRPr="006A4922">
        <w:rPr>
          <w:rFonts w:ascii="Arial" w:hAnsi="Arial" w:cs="Arial"/>
          <w:b/>
        </w:rPr>
        <w:lastRenderedPageBreak/>
        <w:t>Catálogo Nacional de Emisoras.</w:t>
      </w:r>
      <w:r w:rsidRPr="006A4922">
        <w:rPr>
          <w:rFonts w:ascii="Arial" w:hAnsi="Arial" w:cs="Arial"/>
        </w:rPr>
        <w:t xml:space="preserve"> El veintiséis de octubre de dos mil diecisiete en la Décima Sesión Ordinaria del Comité de Radio y Televisión del Instituto Nacional Electoral, se aprobó el </w:t>
      </w:r>
      <w:r w:rsidRPr="006A4922">
        <w:rPr>
          <w:rFonts w:ascii="Arial" w:hAnsi="Arial" w:cs="Arial"/>
          <w:i/>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6A4922">
        <w:rPr>
          <w:rFonts w:ascii="Arial" w:hAnsi="Arial" w:cs="Arial"/>
        </w:rPr>
        <w:t>identificado como INE/ACRT/23/2017.</w:t>
      </w:r>
    </w:p>
    <w:p w:rsidR="006A4922" w:rsidRPr="006A4922" w:rsidRDefault="006A4922" w:rsidP="006A4922">
      <w:pPr>
        <w:pStyle w:val="Prrafodelista"/>
        <w:autoSpaceDE w:val="0"/>
        <w:autoSpaceDN w:val="0"/>
        <w:adjustRightInd w:val="0"/>
        <w:ind w:left="567"/>
        <w:jc w:val="both"/>
        <w:rPr>
          <w:rFonts w:ascii="Arial" w:hAnsi="Arial" w:cs="Arial"/>
        </w:rPr>
      </w:pPr>
    </w:p>
    <w:p w:rsidR="006A4922" w:rsidRPr="006A4922" w:rsidRDefault="006A4922" w:rsidP="006A4922">
      <w:pPr>
        <w:pStyle w:val="Prrafodelista"/>
        <w:numPr>
          <w:ilvl w:val="0"/>
          <w:numId w:val="2"/>
        </w:numPr>
        <w:autoSpaceDE w:val="0"/>
        <w:autoSpaceDN w:val="0"/>
        <w:adjustRightInd w:val="0"/>
        <w:ind w:left="567" w:hanging="709"/>
        <w:jc w:val="both"/>
        <w:rPr>
          <w:rFonts w:ascii="Arial" w:hAnsi="Arial" w:cs="Arial"/>
        </w:rPr>
      </w:pPr>
      <w:r w:rsidRPr="006A4922">
        <w:rPr>
          <w:rFonts w:ascii="Arial" w:hAnsi="Arial" w:cs="Arial"/>
          <w:b/>
        </w:rPr>
        <w:t>Aprobación de pautas de partidos políticos del Proceso Electoral Federal 2017-2018</w:t>
      </w:r>
      <w:r w:rsidRPr="006A4922">
        <w:rPr>
          <w:rFonts w:ascii="Arial" w:hAnsi="Arial" w:cs="Arial"/>
        </w:rPr>
        <w:t xml:space="preserve">. El veintiséis de octubre de dos mil diecisiete, en la Décima Sesión Ordinaria del Comité de Radio y Televisión del Instituto Nacional Electoral, se aprobó el </w:t>
      </w:r>
      <w:r w:rsidRPr="006A4922">
        <w:rPr>
          <w:rFonts w:ascii="Arial" w:hAnsi="Arial" w:cs="Arial"/>
          <w:i/>
        </w:rPr>
        <w:t>“Acuerdo […] por el que se aprueban las pautas para la transmisión en radio y televisión de los mensajes de los partidos políticos para el periodo de precampaña del Proceso Electoral Federal 2017-2018”</w:t>
      </w:r>
      <w:r w:rsidRPr="006A4922">
        <w:rPr>
          <w:rFonts w:ascii="Arial" w:hAnsi="Arial" w:cs="Arial"/>
        </w:rPr>
        <w:t>, identificado como INE/ACRT/24/2017.</w:t>
      </w:r>
    </w:p>
    <w:p w:rsidR="006A4922" w:rsidRPr="006A4922" w:rsidRDefault="006A4922" w:rsidP="006A4922">
      <w:pPr>
        <w:pStyle w:val="Prrafodelista"/>
        <w:autoSpaceDE w:val="0"/>
        <w:autoSpaceDN w:val="0"/>
        <w:adjustRightInd w:val="0"/>
        <w:ind w:left="567"/>
        <w:jc w:val="both"/>
        <w:rPr>
          <w:rFonts w:ascii="Arial" w:hAnsi="Arial" w:cs="Arial"/>
        </w:rPr>
      </w:pPr>
    </w:p>
    <w:p w:rsidR="006A4922" w:rsidRPr="003A173B" w:rsidRDefault="006A4922" w:rsidP="006A4922">
      <w:pPr>
        <w:pStyle w:val="Prrafodelista"/>
        <w:numPr>
          <w:ilvl w:val="0"/>
          <w:numId w:val="2"/>
        </w:numPr>
        <w:autoSpaceDE w:val="0"/>
        <w:autoSpaceDN w:val="0"/>
        <w:adjustRightInd w:val="0"/>
        <w:ind w:left="567" w:hanging="709"/>
        <w:jc w:val="both"/>
        <w:rPr>
          <w:rFonts w:ascii="Arial" w:hAnsi="Arial" w:cs="Arial"/>
          <w:spacing w:val="-4"/>
        </w:rPr>
      </w:pPr>
      <w:r w:rsidRPr="003A173B">
        <w:rPr>
          <w:rFonts w:ascii="Arial" w:hAnsi="Arial" w:cs="Arial"/>
          <w:b/>
          <w:spacing w:val="-4"/>
        </w:rPr>
        <w:t>Aprobación de pautas para el periodo de precampaña</w:t>
      </w:r>
      <w:r w:rsidRPr="003A173B">
        <w:rPr>
          <w:rFonts w:ascii="Arial" w:hAnsi="Arial" w:cs="Arial"/>
          <w:spacing w:val="-4"/>
        </w:rPr>
        <w:t xml:space="preserve">. El veintiséis de octubre de dos mil diecisiete en la Décima Sesión Ordinaria del Comité de Radio y Televisión del Instituto Nacional Electoral, se aprobó el </w:t>
      </w:r>
      <w:r w:rsidRPr="003A173B">
        <w:rPr>
          <w:rFonts w:ascii="Arial" w:hAnsi="Arial" w:cs="Arial"/>
          <w:i/>
          <w:spacing w:val="-4"/>
        </w:rPr>
        <w:t>“Acuerdo […] por el que se aprueban las pautas para la transmisión en radio y televisión de los mensajes de los partidos políticos para el periodo de precampaña del Proceso Electoral Local 2017-2018, coincidente con el Proceso Electoral Federal 2017-2018, en el estado de Zacatecas”,</w:t>
      </w:r>
      <w:r w:rsidRPr="003A173B">
        <w:rPr>
          <w:rFonts w:ascii="Arial" w:hAnsi="Arial" w:cs="Arial"/>
          <w:spacing w:val="-4"/>
        </w:rPr>
        <w:t xml:space="preserve"> identificado como INE/ACRT/34/2017.</w:t>
      </w:r>
    </w:p>
    <w:p w:rsidR="006A4922" w:rsidRPr="006A4922" w:rsidRDefault="006A4922" w:rsidP="006A4922">
      <w:pPr>
        <w:pStyle w:val="Prrafodelista"/>
        <w:autoSpaceDE w:val="0"/>
        <w:autoSpaceDN w:val="0"/>
        <w:adjustRightInd w:val="0"/>
        <w:ind w:left="567"/>
        <w:jc w:val="both"/>
        <w:rPr>
          <w:rFonts w:ascii="Arial" w:hAnsi="Arial" w:cs="Arial"/>
        </w:rPr>
      </w:pPr>
    </w:p>
    <w:p w:rsidR="006A4922" w:rsidRPr="003A173B" w:rsidRDefault="006A4922" w:rsidP="006A4922">
      <w:pPr>
        <w:pStyle w:val="Prrafodelista"/>
        <w:numPr>
          <w:ilvl w:val="0"/>
          <w:numId w:val="2"/>
        </w:numPr>
        <w:autoSpaceDE w:val="0"/>
        <w:autoSpaceDN w:val="0"/>
        <w:adjustRightInd w:val="0"/>
        <w:ind w:left="567" w:hanging="709"/>
        <w:jc w:val="both"/>
        <w:rPr>
          <w:rFonts w:ascii="Arial" w:hAnsi="Arial" w:cs="Arial"/>
          <w:spacing w:val="-4"/>
        </w:rPr>
      </w:pPr>
      <w:r w:rsidRPr="003A173B">
        <w:rPr>
          <w:rFonts w:ascii="Arial" w:hAnsi="Arial" w:cs="Arial"/>
          <w:b/>
          <w:spacing w:val="-4"/>
        </w:rPr>
        <w:t>Aprobación de pautas de autoridades electorales del Proceso Electoral Federal 2017-2018 y locales coincidentes</w:t>
      </w:r>
      <w:r w:rsidRPr="003A173B">
        <w:rPr>
          <w:rFonts w:ascii="Arial" w:hAnsi="Arial" w:cs="Arial"/>
          <w:spacing w:val="-4"/>
        </w:rPr>
        <w:t xml:space="preserve">. El once de diciembre dos mil diecisiete, en sesión ordinaria de la Junta General Ejecutiva del Instituto Nacional Electoral, se aprobó el </w:t>
      </w:r>
      <w:r w:rsidRPr="003A173B">
        <w:rPr>
          <w:rFonts w:ascii="Arial" w:hAnsi="Arial" w:cs="Arial"/>
          <w:i/>
          <w:spacing w:val="-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3A173B">
        <w:rPr>
          <w:rFonts w:ascii="Arial" w:hAnsi="Arial" w:cs="Arial"/>
          <w:i/>
          <w:spacing w:val="-4"/>
        </w:rPr>
        <w:t>intercampaña</w:t>
      </w:r>
      <w:proofErr w:type="spellEnd"/>
      <w:r w:rsidRPr="003A173B">
        <w:rPr>
          <w:rFonts w:ascii="Arial" w:hAnsi="Arial" w:cs="Arial"/>
          <w:i/>
          <w:spacing w:val="-4"/>
        </w:rPr>
        <w:t>, campaña, reflexión y jornada electoral del Proceso Electoral Federal 2017-2018, así como de los Procesos Electorales Locales con jornada comicial coincidente con la federal”</w:t>
      </w:r>
      <w:r w:rsidRPr="003A173B">
        <w:rPr>
          <w:rFonts w:ascii="Arial" w:hAnsi="Arial" w:cs="Arial"/>
          <w:spacing w:val="-4"/>
        </w:rPr>
        <w:t>, identificado como INE/JGE231/2017.</w:t>
      </w:r>
    </w:p>
    <w:p w:rsidR="006A4922" w:rsidRPr="006A4922" w:rsidRDefault="006A4922" w:rsidP="006A4922">
      <w:pPr>
        <w:pStyle w:val="Prrafodelista"/>
        <w:autoSpaceDE w:val="0"/>
        <w:autoSpaceDN w:val="0"/>
        <w:adjustRightInd w:val="0"/>
        <w:ind w:left="567"/>
        <w:jc w:val="both"/>
        <w:rPr>
          <w:rFonts w:ascii="Arial" w:hAnsi="Arial" w:cs="Arial"/>
        </w:rPr>
      </w:pPr>
    </w:p>
    <w:p w:rsidR="006A4922" w:rsidRPr="006A4922" w:rsidRDefault="006A4922" w:rsidP="006A4922">
      <w:pPr>
        <w:pStyle w:val="Prrafodelista"/>
        <w:numPr>
          <w:ilvl w:val="0"/>
          <w:numId w:val="2"/>
        </w:numPr>
        <w:autoSpaceDE w:val="0"/>
        <w:autoSpaceDN w:val="0"/>
        <w:adjustRightInd w:val="0"/>
        <w:ind w:left="567" w:hanging="709"/>
        <w:jc w:val="both"/>
        <w:rPr>
          <w:rFonts w:ascii="Arial" w:hAnsi="Arial" w:cs="Arial"/>
        </w:rPr>
      </w:pPr>
      <w:r w:rsidRPr="006A4922">
        <w:rPr>
          <w:rFonts w:ascii="Arial" w:hAnsi="Arial" w:cs="Arial"/>
          <w:b/>
        </w:rPr>
        <w:t>Aprobación del orden de distribución de promocionales</w:t>
      </w:r>
      <w:r w:rsidRPr="006A4922">
        <w:rPr>
          <w:rFonts w:ascii="Arial" w:hAnsi="Arial" w:cs="Arial"/>
        </w:rPr>
        <w:t xml:space="preserve">. El veinte de diciembre de dos mil diecisiete, en la Décima Segunda Sesión Ordinaria del Comité de Radio y Televisión del Instituto Nacional Electoral, se aprobó el </w:t>
      </w:r>
      <w:r w:rsidRPr="006A4922">
        <w:rPr>
          <w:rFonts w:ascii="Arial" w:hAnsi="Arial" w:cs="Arial"/>
          <w:i/>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6A4922">
        <w:rPr>
          <w:rFonts w:ascii="Arial" w:hAnsi="Arial" w:cs="Arial"/>
          <w:i/>
        </w:rPr>
        <w:t>intercampaña</w:t>
      </w:r>
      <w:proofErr w:type="spellEnd"/>
      <w:r w:rsidRPr="006A4922">
        <w:rPr>
          <w:rFonts w:ascii="Arial" w:hAnsi="Arial" w:cs="Arial"/>
          <w:i/>
        </w:rPr>
        <w:t xml:space="preserve"> y campaña”</w:t>
      </w:r>
      <w:r w:rsidRPr="006A4922">
        <w:rPr>
          <w:rFonts w:ascii="Arial" w:hAnsi="Arial" w:cs="Arial"/>
        </w:rPr>
        <w:t>, identificado como INE/ACRT/62/2017.</w:t>
      </w:r>
    </w:p>
    <w:p w:rsidR="006A4922" w:rsidRPr="006A4922" w:rsidRDefault="006A4922" w:rsidP="006A4922">
      <w:pPr>
        <w:pStyle w:val="Prrafodelista"/>
        <w:autoSpaceDE w:val="0"/>
        <w:autoSpaceDN w:val="0"/>
        <w:adjustRightInd w:val="0"/>
        <w:ind w:left="567"/>
        <w:jc w:val="both"/>
        <w:rPr>
          <w:rFonts w:ascii="Arial" w:hAnsi="Arial" w:cs="Arial"/>
        </w:rPr>
      </w:pPr>
    </w:p>
    <w:p w:rsidR="006A4922" w:rsidRPr="003A173B" w:rsidRDefault="006A4922" w:rsidP="006A4922">
      <w:pPr>
        <w:pStyle w:val="Prrafodelista"/>
        <w:numPr>
          <w:ilvl w:val="0"/>
          <w:numId w:val="2"/>
        </w:numPr>
        <w:autoSpaceDE w:val="0"/>
        <w:autoSpaceDN w:val="0"/>
        <w:adjustRightInd w:val="0"/>
        <w:ind w:left="567" w:hanging="709"/>
        <w:jc w:val="both"/>
        <w:rPr>
          <w:rFonts w:ascii="Arial" w:hAnsi="Arial" w:cs="Arial"/>
          <w:spacing w:val="-2"/>
        </w:rPr>
      </w:pPr>
      <w:r w:rsidRPr="003A173B">
        <w:rPr>
          <w:rFonts w:ascii="Arial" w:hAnsi="Arial" w:cs="Arial"/>
          <w:b/>
          <w:spacing w:val="-2"/>
        </w:rPr>
        <w:lastRenderedPageBreak/>
        <w:t xml:space="preserve">Registro de la Coalición Total. </w:t>
      </w:r>
      <w:r w:rsidRPr="003A173B">
        <w:rPr>
          <w:rFonts w:ascii="Arial" w:hAnsi="Arial" w:cs="Arial"/>
          <w:spacing w:val="-2"/>
        </w:rPr>
        <w:t xml:space="preserve">El diez de enero de dos mil dieciocho, el Consejo General del Instituto Electoral del Estado de Zacatecas, emitió la </w:t>
      </w:r>
      <w:r w:rsidRPr="003A173B">
        <w:rPr>
          <w:rFonts w:ascii="Arial" w:hAnsi="Arial" w:cs="Arial"/>
          <w:i/>
          <w:spacing w:val="-2"/>
        </w:rPr>
        <w:t xml:space="preserve">“Resolución […] relativa al registro del Convenio de la Coalición Electoral Total denominada: POR ZACATECAS AL FRENTE, conformada por los partidos políticos: Acción Nacional, de la Revolución Democrática y Movimiento Ciudadano, con el objeto de participar bajo esa figura jurídica en las elecciones de Diputaciones así como para Ayuntamientos por el principio de mayoría relativa, para el proceso electoral ordinario 2017-2018” </w:t>
      </w:r>
      <w:r w:rsidRPr="003A173B">
        <w:rPr>
          <w:rFonts w:ascii="Arial" w:hAnsi="Arial" w:cs="Arial"/>
          <w:spacing w:val="-2"/>
        </w:rPr>
        <w:t>identificada como RCG-IEEZ-001/VII/2018.</w:t>
      </w:r>
    </w:p>
    <w:p w:rsidR="006A4922" w:rsidRPr="006A4922" w:rsidRDefault="006A4922" w:rsidP="006A4922">
      <w:pPr>
        <w:pStyle w:val="Prrafodelista"/>
        <w:autoSpaceDE w:val="0"/>
        <w:autoSpaceDN w:val="0"/>
        <w:adjustRightInd w:val="0"/>
        <w:ind w:left="567"/>
        <w:jc w:val="both"/>
        <w:rPr>
          <w:rFonts w:ascii="Arial" w:hAnsi="Arial" w:cs="Arial"/>
        </w:rPr>
      </w:pPr>
    </w:p>
    <w:p w:rsidR="006A4922" w:rsidRPr="003A173B" w:rsidRDefault="006A4922" w:rsidP="006A4922">
      <w:pPr>
        <w:pStyle w:val="Prrafodelista"/>
        <w:numPr>
          <w:ilvl w:val="0"/>
          <w:numId w:val="2"/>
        </w:numPr>
        <w:autoSpaceDE w:val="0"/>
        <w:autoSpaceDN w:val="0"/>
        <w:adjustRightInd w:val="0"/>
        <w:ind w:left="567" w:hanging="709"/>
        <w:jc w:val="both"/>
        <w:rPr>
          <w:rFonts w:ascii="Arial" w:hAnsi="Arial" w:cs="Arial"/>
          <w:spacing w:val="-4"/>
        </w:rPr>
      </w:pPr>
      <w:r w:rsidRPr="003A173B">
        <w:rPr>
          <w:rFonts w:ascii="Arial" w:hAnsi="Arial" w:cs="Arial"/>
          <w:b/>
          <w:spacing w:val="-4"/>
        </w:rPr>
        <w:t xml:space="preserve">Aprobación de pautas para el periodo de </w:t>
      </w:r>
      <w:proofErr w:type="spellStart"/>
      <w:r w:rsidRPr="003A173B">
        <w:rPr>
          <w:rFonts w:ascii="Arial" w:hAnsi="Arial" w:cs="Arial"/>
          <w:b/>
          <w:spacing w:val="-4"/>
        </w:rPr>
        <w:t>intercampaña</w:t>
      </w:r>
      <w:proofErr w:type="spellEnd"/>
      <w:r w:rsidRPr="003A173B">
        <w:rPr>
          <w:rFonts w:ascii="Arial" w:hAnsi="Arial" w:cs="Arial"/>
          <w:spacing w:val="-4"/>
        </w:rPr>
        <w:t xml:space="preserve">. El once de enero de dos mil dieciocho, en la Primera Sesión Especial del Comité de Radio y Televisión del Instituto Nacional Electoral, se aprobó el “Acuerdo […] por el que se aprueban las pautas para la transmisión en radio y televisión de los mensajes de los partidos políticos para el periodo de </w:t>
      </w:r>
      <w:proofErr w:type="spellStart"/>
      <w:r w:rsidRPr="003A173B">
        <w:rPr>
          <w:rFonts w:ascii="Arial" w:hAnsi="Arial" w:cs="Arial"/>
          <w:spacing w:val="-4"/>
        </w:rPr>
        <w:t>intercampaña</w:t>
      </w:r>
      <w:proofErr w:type="spellEnd"/>
      <w:r w:rsidRPr="003A173B">
        <w:rPr>
          <w:rFonts w:ascii="Arial" w:hAnsi="Arial" w:cs="Arial"/>
          <w:spacing w:val="-4"/>
        </w:rPr>
        <w:t xml:space="preserve"> del proceso electoral local 2017-2018, coincidente con el Proceso Electoral Federal 2017-2018, en el estado de Zacatecas”, identificado como INE/ACRT/31/2018.</w:t>
      </w:r>
    </w:p>
    <w:p w:rsidR="006A4922" w:rsidRPr="006A4922" w:rsidRDefault="006A4922" w:rsidP="006A4922">
      <w:pPr>
        <w:pStyle w:val="Prrafodelista"/>
        <w:autoSpaceDE w:val="0"/>
        <w:autoSpaceDN w:val="0"/>
        <w:adjustRightInd w:val="0"/>
        <w:ind w:left="567"/>
        <w:jc w:val="both"/>
        <w:rPr>
          <w:rFonts w:ascii="Arial" w:hAnsi="Arial" w:cs="Arial"/>
        </w:rPr>
      </w:pPr>
    </w:p>
    <w:p w:rsidR="006A4922" w:rsidRPr="006A4922" w:rsidRDefault="006A4922" w:rsidP="006A4922">
      <w:pPr>
        <w:pStyle w:val="Prrafodelista"/>
        <w:numPr>
          <w:ilvl w:val="0"/>
          <w:numId w:val="2"/>
        </w:numPr>
        <w:autoSpaceDE w:val="0"/>
        <w:autoSpaceDN w:val="0"/>
        <w:adjustRightInd w:val="0"/>
        <w:ind w:left="567" w:hanging="709"/>
        <w:jc w:val="both"/>
        <w:rPr>
          <w:rFonts w:ascii="Arial" w:hAnsi="Arial" w:cs="Arial"/>
        </w:rPr>
      </w:pPr>
      <w:r w:rsidRPr="006A4922">
        <w:rPr>
          <w:rFonts w:ascii="Arial" w:hAnsi="Arial" w:cs="Arial"/>
          <w:b/>
        </w:rPr>
        <w:t>Modificación de pautas por el registro de una Coalición Total.</w:t>
      </w:r>
      <w:r w:rsidRPr="006A4922">
        <w:rPr>
          <w:rFonts w:ascii="Arial" w:hAnsi="Arial" w:cs="Arial"/>
        </w:rPr>
        <w:t xml:space="preserve"> El diecinueve de enero de dos mil dieciocho, en la Segunda Sesión Especial del Comité de Radio y Televisión del Instituto Nacional Electoral, se aprobó el </w:t>
      </w:r>
      <w:r w:rsidRPr="006A4922">
        <w:rPr>
          <w:rFonts w:ascii="Arial" w:hAnsi="Arial" w:cs="Arial"/>
          <w:i/>
        </w:rPr>
        <w:t>“Acuerdo […] por el que se modifica el acuerdo identificado como INE/ACRT/34/2017, con motivo del registro de una coalición total para el periodo de precampaña del Proceso Electoral Local 2017-2018, coincidente con el Proceso Electoral Federal 2017-2018, en el estado de Zacatecas”</w:t>
      </w:r>
      <w:r w:rsidRPr="006A4922">
        <w:rPr>
          <w:rFonts w:ascii="Arial" w:hAnsi="Arial" w:cs="Arial"/>
        </w:rPr>
        <w:t>, identificado como INE/ACRT/35/2018.</w:t>
      </w:r>
    </w:p>
    <w:p w:rsidR="006A4922" w:rsidRPr="006A4922" w:rsidRDefault="006A4922" w:rsidP="006A4922">
      <w:pPr>
        <w:pStyle w:val="Prrafodelista"/>
        <w:autoSpaceDE w:val="0"/>
        <w:autoSpaceDN w:val="0"/>
        <w:adjustRightInd w:val="0"/>
        <w:ind w:left="567"/>
        <w:jc w:val="both"/>
        <w:rPr>
          <w:rFonts w:ascii="Arial" w:hAnsi="Arial" w:cs="Arial"/>
        </w:rPr>
      </w:pPr>
    </w:p>
    <w:p w:rsidR="006A4922" w:rsidRPr="006A4922" w:rsidRDefault="006A4922" w:rsidP="006A4922">
      <w:pPr>
        <w:pStyle w:val="Prrafodelista"/>
        <w:numPr>
          <w:ilvl w:val="0"/>
          <w:numId w:val="2"/>
        </w:numPr>
        <w:autoSpaceDE w:val="0"/>
        <w:autoSpaceDN w:val="0"/>
        <w:adjustRightInd w:val="0"/>
        <w:ind w:left="567" w:hanging="709"/>
        <w:jc w:val="both"/>
        <w:rPr>
          <w:rFonts w:ascii="Arial" w:hAnsi="Arial" w:cs="Arial"/>
        </w:rPr>
      </w:pPr>
      <w:r w:rsidRPr="006A4922">
        <w:rPr>
          <w:rFonts w:ascii="Arial" w:hAnsi="Arial" w:cs="Arial"/>
          <w:b/>
        </w:rPr>
        <w:t>Registro de un partido político local en el estado de Zacatecas.</w:t>
      </w:r>
      <w:r w:rsidRPr="006A4922">
        <w:rPr>
          <w:rFonts w:ascii="Arial" w:hAnsi="Arial" w:cs="Arial"/>
        </w:rPr>
        <w:t xml:space="preserve"> El veintiocho de enero de dos mil dieciocho, en la sesión extraordinaria celebrada por el Consejo General del Instituto Electoral del Estado de Zacatecas, se emitió la resolución relativa a la procedencia de la solicitud de registro de la organización denominada “Movimiento Dignidad Zacatecas A.C.”, como Partido Político Local, identificada con la clave RCG-IEEZ-004/VII/2018.</w:t>
      </w:r>
    </w:p>
    <w:p w:rsidR="006A4922" w:rsidRPr="006A4922" w:rsidRDefault="006A4922" w:rsidP="006A4922">
      <w:pPr>
        <w:pStyle w:val="Prrafodelista"/>
        <w:autoSpaceDE w:val="0"/>
        <w:autoSpaceDN w:val="0"/>
        <w:adjustRightInd w:val="0"/>
        <w:ind w:left="567"/>
        <w:jc w:val="both"/>
        <w:rPr>
          <w:rFonts w:ascii="Arial" w:hAnsi="Arial" w:cs="Arial"/>
        </w:rPr>
      </w:pPr>
    </w:p>
    <w:p w:rsidR="006A4922" w:rsidRPr="006A4922" w:rsidRDefault="006A4922" w:rsidP="006A4922">
      <w:pPr>
        <w:pStyle w:val="Default"/>
        <w:jc w:val="center"/>
        <w:rPr>
          <w:b/>
          <w:bCs/>
        </w:rPr>
      </w:pPr>
      <w:r w:rsidRPr="006A4922">
        <w:rPr>
          <w:b/>
          <w:bCs/>
        </w:rPr>
        <w:t>C o n s i d e r a n d o</w:t>
      </w:r>
    </w:p>
    <w:p w:rsidR="006A4922" w:rsidRDefault="006A4922" w:rsidP="006A4922">
      <w:pPr>
        <w:pStyle w:val="Default"/>
        <w:jc w:val="center"/>
        <w:rPr>
          <w:sz w:val="23"/>
          <w:szCs w:val="23"/>
        </w:rPr>
      </w:pPr>
    </w:p>
    <w:p w:rsidR="003A173B" w:rsidRPr="006A4922" w:rsidRDefault="003A173B" w:rsidP="006A4922">
      <w:pPr>
        <w:pStyle w:val="Default"/>
        <w:jc w:val="center"/>
        <w:rPr>
          <w:sz w:val="23"/>
          <w:szCs w:val="23"/>
        </w:rPr>
      </w:pPr>
    </w:p>
    <w:p w:rsidR="006A4922" w:rsidRPr="006A4922" w:rsidRDefault="006A4922" w:rsidP="006A4922">
      <w:pPr>
        <w:pStyle w:val="Default"/>
        <w:rPr>
          <w:sz w:val="23"/>
          <w:szCs w:val="23"/>
        </w:rPr>
      </w:pPr>
      <w:r w:rsidRPr="006A4922">
        <w:rPr>
          <w:b/>
          <w:bCs/>
          <w:sz w:val="23"/>
          <w:szCs w:val="23"/>
        </w:rPr>
        <w:t xml:space="preserve">Competencia en materia de administración de tiempos de radio y televisión </w:t>
      </w:r>
    </w:p>
    <w:p w:rsidR="006A4922" w:rsidRPr="006A4922" w:rsidRDefault="006A4922" w:rsidP="006A4922">
      <w:pPr>
        <w:pStyle w:val="Default"/>
        <w:rPr>
          <w:sz w:val="23"/>
          <w:szCs w:val="23"/>
        </w:rPr>
      </w:pPr>
    </w:p>
    <w:p w:rsidR="006A4922" w:rsidRPr="006A4922" w:rsidRDefault="006A4922" w:rsidP="006A4922">
      <w:pPr>
        <w:numPr>
          <w:ilvl w:val="0"/>
          <w:numId w:val="3"/>
        </w:numPr>
        <w:tabs>
          <w:tab w:val="clear" w:pos="11341"/>
          <w:tab w:val="num" w:pos="7513"/>
        </w:tabs>
        <w:ind w:left="567" w:hanging="567"/>
        <w:jc w:val="both"/>
        <w:rPr>
          <w:rFonts w:ascii="Arial" w:hAnsi="Arial" w:cs="Arial"/>
          <w:color w:val="000000"/>
        </w:rPr>
      </w:pPr>
      <w:r w:rsidRPr="006A4922">
        <w:rPr>
          <w:rFonts w:ascii="Arial" w:hAnsi="Arial" w:cs="Arial"/>
          <w:color w:val="000000"/>
        </w:rPr>
        <w:t>De conformidad con lo dispuesto por los artículos 41, base III, apartados A, primer párrafo y B, de la Constitución Política de los Estados Unidos Mexicanos; y 30, numeral 1, inciso h); 159, numeral 2, 160, numeral 1 de la Ley General de Instituciones y Procedimientos Electorales y 7, numeral 3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6A4922" w:rsidRPr="006A4922" w:rsidRDefault="006A4922" w:rsidP="006A4922">
      <w:pPr>
        <w:ind w:left="567"/>
        <w:jc w:val="both"/>
        <w:rPr>
          <w:rFonts w:ascii="Arial" w:hAnsi="Arial" w:cs="Arial"/>
          <w:color w:val="000000"/>
        </w:rPr>
      </w:pPr>
    </w:p>
    <w:p w:rsidR="006A4922" w:rsidRPr="006A4922" w:rsidRDefault="006A4922" w:rsidP="006A4922">
      <w:pPr>
        <w:numPr>
          <w:ilvl w:val="0"/>
          <w:numId w:val="3"/>
        </w:numPr>
        <w:ind w:left="567" w:hanging="567"/>
        <w:jc w:val="both"/>
        <w:rPr>
          <w:rFonts w:ascii="Arial" w:hAnsi="Arial" w:cs="Arial"/>
          <w:color w:val="000000"/>
        </w:rPr>
      </w:pPr>
      <w:r w:rsidRPr="006A4922">
        <w:rPr>
          <w:rFonts w:ascii="Arial" w:hAnsi="Arial" w:cs="Arial"/>
          <w:color w:val="000000"/>
        </w:rPr>
        <w:t>Los artículos 41, Base III, primer párrafo de la Constitución Política de los Estados Unidos Mexicanos; 160, numeral 2 de la Ley General de Instituciones y Procedimientos Electorales; 23, numeral 1, inciso d) y 26, numeral 1, inciso a) y 49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w:t>
      </w:r>
    </w:p>
    <w:p w:rsidR="006A4922" w:rsidRPr="006A4922" w:rsidRDefault="006A4922" w:rsidP="006A4922">
      <w:pPr>
        <w:ind w:left="567"/>
        <w:jc w:val="both"/>
        <w:rPr>
          <w:rFonts w:ascii="Arial" w:hAnsi="Arial" w:cs="Arial"/>
          <w:color w:val="000000"/>
          <w:sz w:val="16"/>
          <w:szCs w:val="16"/>
        </w:rPr>
      </w:pPr>
    </w:p>
    <w:p w:rsidR="006A4922" w:rsidRPr="006A4922" w:rsidRDefault="006A4922" w:rsidP="006A4922">
      <w:pPr>
        <w:numPr>
          <w:ilvl w:val="0"/>
          <w:numId w:val="3"/>
        </w:numPr>
        <w:ind w:left="567" w:hanging="567"/>
        <w:jc w:val="both"/>
        <w:rPr>
          <w:rFonts w:ascii="Arial" w:hAnsi="Arial" w:cs="Arial"/>
          <w:color w:val="000000"/>
        </w:rPr>
      </w:pPr>
      <w:r w:rsidRPr="006A4922">
        <w:rPr>
          <w:rFonts w:ascii="Arial" w:hAnsi="Arial" w:cs="Arial"/>
          <w:color w:val="000000"/>
        </w:rPr>
        <w:t>Como lo señalan los artículos 1, numerales 1 y 2 de la Ley General de Instituciones y Procedimientos Electorales,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rsidR="006A4922" w:rsidRPr="00655DC7" w:rsidRDefault="006A4922" w:rsidP="006A4922">
      <w:pPr>
        <w:ind w:left="567"/>
        <w:jc w:val="both"/>
        <w:rPr>
          <w:rFonts w:ascii="Arial" w:hAnsi="Arial" w:cs="Arial"/>
          <w:color w:val="000000"/>
        </w:rPr>
      </w:pPr>
    </w:p>
    <w:p w:rsidR="006A4922" w:rsidRPr="006A4922" w:rsidRDefault="006A4922" w:rsidP="006A4922">
      <w:pPr>
        <w:numPr>
          <w:ilvl w:val="0"/>
          <w:numId w:val="3"/>
        </w:numPr>
        <w:ind w:left="567" w:hanging="567"/>
        <w:jc w:val="both"/>
        <w:rPr>
          <w:rFonts w:ascii="Arial" w:hAnsi="Arial" w:cs="Arial"/>
          <w:color w:val="000000"/>
        </w:rPr>
      </w:pPr>
      <w:r w:rsidRPr="006A4922">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6A4922" w:rsidRPr="006A4922" w:rsidRDefault="006A4922" w:rsidP="006A4922">
      <w:pPr>
        <w:jc w:val="both"/>
        <w:rPr>
          <w:rFonts w:ascii="Arial" w:hAnsi="Arial" w:cs="Arial"/>
          <w:color w:val="000000"/>
        </w:rPr>
      </w:pPr>
    </w:p>
    <w:p w:rsidR="006A4922" w:rsidRPr="006A4922" w:rsidRDefault="006A4922" w:rsidP="006A4922">
      <w:pPr>
        <w:numPr>
          <w:ilvl w:val="0"/>
          <w:numId w:val="3"/>
        </w:numPr>
        <w:ind w:left="567" w:hanging="567"/>
        <w:jc w:val="both"/>
        <w:rPr>
          <w:rFonts w:ascii="Arial" w:hAnsi="Arial" w:cs="Arial"/>
          <w:color w:val="000000"/>
        </w:rPr>
      </w:pPr>
      <w:r w:rsidRPr="006A4922">
        <w:rPr>
          <w:rFonts w:ascii="Arial" w:hAnsi="Arial" w:cs="Arial"/>
          <w:color w:val="000000"/>
        </w:rPr>
        <w:t>En los Procesos Electorales Federales el Instituto administrará los tiempos que correspondan al Estado en cada estación de radio y canal de televisión. Los cuarenta y ocho minutos de que dispondrá el Instituto se utilizarán desde el inicio de la precampaña hasta el término de la jornada electoral, de conformidad con lo establecido en el artículo 165, numeral 1 de la Ley General de Instituciones y Procedimientos Electorales.</w:t>
      </w:r>
    </w:p>
    <w:p w:rsidR="006A4922" w:rsidRPr="006A4922" w:rsidRDefault="006A4922" w:rsidP="006A4922">
      <w:pPr>
        <w:ind w:left="567"/>
        <w:jc w:val="both"/>
        <w:rPr>
          <w:rFonts w:ascii="Arial" w:hAnsi="Arial" w:cs="Arial"/>
          <w:color w:val="000000"/>
        </w:rPr>
      </w:pPr>
    </w:p>
    <w:p w:rsidR="006A4922" w:rsidRPr="006A4922" w:rsidRDefault="006A4922" w:rsidP="006A4922">
      <w:pPr>
        <w:numPr>
          <w:ilvl w:val="0"/>
          <w:numId w:val="3"/>
        </w:numPr>
        <w:tabs>
          <w:tab w:val="clear" w:pos="11341"/>
          <w:tab w:val="num" w:pos="6664"/>
        </w:tabs>
        <w:spacing w:line="300" w:lineRule="exact"/>
        <w:ind w:left="567" w:hanging="567"/>
        <w:jc w:val="both"/>
        <w:rPr>
          <w:rFonts w:ascii="Arial" w:hAnsi="Arial" w:cs="Arial"/>
          <w:color w:val="000000"/>
        </w:rPr>
      </w:pPr>
      <w:r w:rsidRPr="006A4922">
        <w:rPr>
          <w:rFonts w:ascii="Arial" w:hAnsi="Arial" w:cs="Arial"/>
          <w:color w:val="000000"/>
        </w:rPr>
        <w:t>En la tesis relevante XXVIII/2009 emitida por la Sala Superior del Tribunal Electoral del Poder Judicial de la Federación, se determinó que los partidos políticos locales con registro ante los ahora denominados Organismos Públicos Locales Electorales, accederán a la radio y a la televisión en los tiempos del Estado que administra el Instituto Nacional Electoral dentro de los procesos electorales y también fuera de los periodos de precampañas y campañas.</w:t>
      </w:r>
    </w:p>
    <w:p w:rsidR="006A4922" w:rsidRDefault="006A4922" w:rsidP="006A4922">
      <w:pPr>
        <w:jc w:val="both"/>
        <w:rPr>
          <w:rFonts w:ascii="Arial" w:hAnsi="Arial" w:cs="Arial"/>
          <w:color w:val="000000"/>
        </w:rPr>
      </w:pPr>
    </w:p>
    <w:p w:rsidR="006A4922" w:rsidRPr="006A4922" w:rsidRDefault="006A4922" w:rsidP="006A4922">
      <w:pPr>
        <w:jc w:val="both"/>
        <w:rPr>
          <w:rFonts w:ascii="Arial" w:hAnsi="Arial" w:cs="Arial"/>
          <w:b/>
          <w:bCs/>
          <w:color w:val="000000"/>
        </w:rPr>
      </w:pPr>
      <w:r w:rsidRPr="006A4922">
        <w:rPr>
          <w:rFonts w:ascii="Arial" w:hAnsi="Arial" w:cs="Arial"/>
          <w:b/>
          <w:bCs/>
          <w:color w:val="000000"/>
        </w:rPr>
        <w:lastRenderedPageBreak/>
        <w:t xml:space="preserve">Competencia específica </w:t>
      </w:r>
      <w:r w:rsidRPr="006A4922">
        <w:rPr>
          <w:rFonts w:ascii="Arial" w:hAnsi="Arial" w:cs="Arial"/>
          <w:b/>
          <w:color w:val="000000"/>
        </w:rPr>
        <w:t>del Comité de Radio y Televisión</w:t>
      </w:r>
    </w:p>
    <w:p w:rsidR="006A4922" w:rsidRPr="006A4922" w:rsidRDefault="006A4922" w:rsidP="006A4922">
      <w:pPr>
        <w:jc w:val="both"/>
        <w:rPr>
          <w:rFonts w:ascii="Arial" w:hAnsi="Arial" w:cs="Arial"/>
          <w:b/>
          <w:bCs/>
          <w:color w:val="000000"/>
        </w:rPr>
      </w:pPr>
    </w:p>
    <w:p w:rsidR="006A4922" w:rsidRPr="006A4922" w:rsidRDefault="006A4922" w:rsidP="006A4922">
      <w:pPr>
        <w:numPr>
          <w:ilvl w:val="0"/>
          <w:numId w:val="3"/>
        </w:numPr>
        <w:ind w:left="567" w:hanging="567"/>
        <w:jc w:val="both"/>
        <w:rPr>
          <w:rFonts w:ascii="Arial" w:hAnsi="Arial" w:cs="Arial"/>
          <w:color w:val="000000"/>
        </w:rPr>
      </w:pPr>
      <w:r w:rsidRPr="006A4922">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6A4922" w:rsidRPr="006A4922" w:rsidRDefault="006A4922" w:rsidP="00655DC7">
      <w:pPr>
        <w:spacing w:line="276" w:lineRule="auto"/>
        <w:ind w:left="567"/>
        <w:jc w:val="both"/>
        <w:rPr>
          <w:rFonts w:ascii="Arial" w:hAnsi="Arial" w:cs="Arial"/>
          <w:color w:val="000000"/>
        </w:rPr>
      </w:pPr>
    </w:p>
    <w:p w:rsidR="006A4922" w:rsidRPr="006A4922" w:rsidRDefault="006A4922" w:rsidP="006A4922">
      <w:pPr>
        <w:numPr>
          <w:ilvl w:val="0"/>
          <w:numId w:val="3"/>
        </w:numPr>
        <w:ind w:left="567" w:hanging="567"/>
        <w:jc w:val="both"/>
        <w:rPr>
          <w:rFonts w:ascii="Arial" w:hAnsi="Arial" w:cs="Arial"/>
          <w:color w:val="000000"/>
        </w:rPr>
      </w:pPr>
      <w:r w:rsidRPr="006A4922">
        <w:rPr>
          <w:rFonts w:ascii="Arial" w:hAnsi="Arial" w:cs="Arial"/>
          <w:color w:val="000000"/>
        </w:rPr>
        <w:t xml:space="preserve">Los artículos 162, numeral 1, inciso d); 184, numeral 1, inciso a) de la Ley General de Instituciones y Procedimientos Electorales, 4, numeral 2, inciso d); así como 34, numeral 2 del Reglamento de Radio y Televisión en Materia Electoral, establecen que el Comité de Radio y Televisión es el responsable de conocer y aprobar las pautas de transmisión correspondientes a los mensajes de los partidos políticos y, en su caso, de las coaliciones y candidatos/as independientes, así como los demás asuntos que en la materia conciernan en forma directa a los propios partidos. </w:t>
      </w:r>
    </w:p>
    <w:p w:rsidR="006A4922" w:rsidRPr="006A4922" w:rsidRDefault="006A4922" w:rsidP="00655DC7">
      <w:pPr>
        <w:spacing w:line="276" w:lineRule="auto"/>
        <w:ind w:left="567"/>
        <w:jc w:val="both"/>
        <w:rPr>
          <w:rFonts w:ascii="Arial" w:hAnsi="Arial" w:cs="Arial"/>
          <w:color w:val="000000"/>
        </w:rPr>
      </w:pPr>
    </w:p>
    <w:p w:rsidR="006A4922" w:rsidRPr="006A4922" w:rsidRDefault="006A4922" w:rsidP="006A4922">
      <w:pPr>
        <w:numPr>
          <w:ilvl w:val="0"/>
          <w:numId w:val="3"/>
        </w:numPr>
        <w:ind w:left="567" w:hanging="567"/>
        <w:jc w:val="both"/>
        <w:rPr>
          <w:rFonts w:ascii="Arial" w:hAnsi="Arial" w:cs="Arial"/>
          <w:color w:val="000000"/>
        </w:rPr>
      </w:pPr>
      <w:r w:rsidRPr="006A4922">
        <w:rPr>
          <w:rFonts w:ascii="Arial" w:hAnsi="Arial" w:cs="Arial"/>
          <w:color w:val="000000"/>
        </w:rPr>
        <w:t>De conformidad con lo establecido en el artículo 6 numeral 2, inciso b) del Reglamento de Radio y Televisión en Materia Electoral, es atribución del Comité de Radio y Televisión conocer y en su caso modificar los modelos de distribución que presenten los Organismos Públicos Locales Electorales, para la transmisión de los promocionales de los partidos políticos y de los/las candidatos/as independientes con motivo de los Procesos Electorales Locales.</w:t>
      </w:r>
    </w:p>
    <w:p w:rsidR="006A4922" w:rsidRPr="006A4922" w:rsidRDefault="006A4922" w:rsidP="00655DC7">
      <w:pPr>
        <w:spacing w:line="276" w:lineRule="auto"/>
        <w:ind w:left="567"/>
        <w:jc w:val="both"/>
        <w:rPr>
          <w:rFonts w:ascii="Arial" w:hAnsi="Arial" w:cs="Arial"/>
          <w:color w:val="000000"/>
        </w:rPr>
      </w:pPr>
    </w:p>
    <w:p w:rsidR="006A4922" w:rsidRPr="006A4922" w:rsidRDefault="006A4922" w:rsidP="006A4922">
      <w:pPr>
        <w:numPr>
          <w:ilvl w:val="0"/>
          <w:numId w:val="3"/>
        </w:numPr>
        <w:ind w:left="567" w:hanging="567"/>
        <w:jc w:val="both"/>
        <w:rPr>
          <w:rFonts w:ascii="Arial" w:hAnsi="Arial" w:cs="Arial"/>
          <w:color w:val="000000"/>
        </w:rPr>
      </w:pPr>
      <w:r w:rsidRPr="006A4922">
        <w:rPr>
          <w:rFonts w:ascii="Arial" w:hAnsi="Arial" w:cs="Arial"/>
          <w:color w:val="000000"/>
        </w:rPr>
        <w:t>Como lo establece el artículo 36, numeral 1, inciso a) del Reglamento de la materia, las pautas aprobadas por este Comité podrán ser objeto de modificación cuando se otorgue el registro a un partido político, como es el caso del partido local Movimiento Dignidad Zacatecas, en la entidad federativa citada.</w:t>
      </w:r>
    </w:p>
    <w:p w:rsidR="006A4922" w:rsidRDefault="006A4922" w:rsidP="00655DC7">
      <w:pPr>
        <w:spacing w:line="276" w:lineRule="auto"/>
        <w:ind w:left="567"/>
        <w:jc w:val="both"/>
        <w:rPr>
          <w:rFonts w:ascii="Arial" w:hAnsi="Arial" w:cs="Arial"/>
          <w:color w:val="000000"/>
        </w:rPr>
      </w:pPr>
    </w:p>
    <w:p w:rsidR="00655DC7" w:rsidRPr="00655DC7" w:rsidRDefault="00655DC7" w:rsidP="00655DC7">
      <w:pPr>
        <w:spacing w:line="276" w:lineRule="auto"/>
        <w:ind w:left="567"/>
        <w:jc w:val="both"/>
        <w:rPr>
          <w:rFonts w:ascii="Arial" w:hAnsi="Arial" w:cs="Arial"/>
          <w:color w:val="000000"/>
        </w:rPr>
      </w:pPr>
    </w:p>
    <w:p w:rsidR="006A4922" w:rsidRPr="006A4922" w:rsidRDefault="006A4922" w:rsidP="006A4922">
      <w:pPr>
        <w:autoSpaceDE w:val="0"/>
        <w:autoSpaceDN w:val="0"/>
        <w:adjustRightInd w:val="0"/>
        <w:rPr>
          <w:rFonts w:ascii="Arial" w:hAnsi="Arial" w:cs="Arial"/>
          <w:b/>
          <w:color w:val="000000"/>
          <w:szCs w:val="23"/>
        </w:rPr>
      </w:pPr>
      <w:r w:rsidRPr="006A4922">
        <w:rPr>
          <w:rFonts w:ascii="Arial" w:hAnsi="Arial" w:cs="Arial"/>
          <w:b/>
          <w:color w:val="000000"/>
          <w:szCs w:val="23"/>
        </w:rPr>
        <w:t>Modificación a las pautas correspondientes a los mensajes de partidos políticos</w:t>
      </w:r>
    </w:p>
    <w:p w:rsidR="006A4922" w:rsidRPr="006A4922" w:rsidRDefault="006A4922" w:rsidP="00655DC7">
      <w:pPr>
        <w:spacing w:line="276" w:lineRule="auto"/>
        <w:jc w:val="both"/>
        <w:rPr>
          <w:rFonts w:ascii="Arial" w:hAnsi="Arial" w:cs="Arial"/>
          <w:color w:val="000000"/>
        </w:rPr>
      </w:pPr>
    </w:p>
    <w:p w:rsidR="006A4922" w:rsidRPr="006A4922" w:rsidRDefault="006A4922" w:rsidP="006A4922">
      <w:pPr>
        <w:numPr>
          <w:ilvl w:val="0"/>
          <w:numId w:val="3"/>
        </w:numPr>
        <w:ind w:left="567" w:hanging="567"/>
        <w:jc w:val="both"/>
        <w:rPr>
          <w:rFonts w:ascii="Arial" w:hAnsi="Arial" w:cs="Arial"/>
          <w:color w:val="000000"/>
        </w:rPr>
      </w:pPr>
      <w:r w:rsidRPr="006A4922">
        <w:rPr>
          <w:rFonts w:ascii="Arial" w:hAnsi="Arial" w:cs="Arial"/>
          <w:color w:val="000000"/>
        </w:rPr>
        <w:t xml:space="preserve">Atendiendo a lo resuelto por el Instituto Electoral del Estado de Zacatecas, en el Acuerdo referido en los antecedentes del presente instrumento, Movimiento Dignidad Zacatecas obtuvo su registro como partido político local, por lo que se le debe otorgar la prerrogativa de acceso a radio y televisión a que tiene derecho. </w:t>
      </w:r>
    </w:p>
    <w:p w:rsidR="006A4922" w:rsidRPr="006A4922" w:rsidRDefault="006A4922" w:rsidP="00655DC7">
      <w:pPr>
        <w:spacing w:line="276" w:lineRule="auto"/>
        <w:ind w:left="567"/>
        <w:jc w:val="both"/>
        <w:rPr>
          <w:rFonts w:ascii="Arial" w:hAnsi="Arial" w:cs="Arial"/>
          <w:color w:val="000000"/>
        </w:rPr>
      </w:pPr>
    </w:p>
    <w:p w:rsidR="006A4922" w:rsidRPr="006A4922" w:rsidRDefault="006A4922" w:rsidP="006A4922">
      <w:pPr>
        <w:numPr>
          <w:ilvl w:val="0"/>
          <w:numId w:val="3"/>
        </w:numPr>
        <w:ind w:left="567" w:hanging="567"/>
        <w:jc w:val="both"/>
        <w:rPr>
          <w:rFonts w:ascii="Arial" w:hAnsi="Arial" w:cs="Arial"/>
          <w:color w:val="000000"/>
        </w:rPr>
      </w:pPr>
      <w:r w:rsidRPr="006A4922">
        <w:rPr>
          <w:rFonts w:ascii="Arial" w:hAnsi="Arial" w:cs="Arial"/>
          <w:color w:val="000000"/>
        </w:rPr>
        <w:t xml:space="preserve">Con base en los puntos considerativos previos, los mensajes correspondientes a las etapas de </w:t>
      </w:r>
      <w:proofErr w:type="spellStart"/>
      <w:r w:rsidRPr="006A4922">
        <w:rPr>
          <w:rFonts w:ascii="Arial" w:hAnsi="Arial" w:cs="Arial"/>
          <w:color w:val="000000"/>
        </w:rPr>
        <w:t>intercampaña</w:t>
      </w:r>
      <w:proofErr w:type="spellEnd"/>
      <w:r w:rsidRPr="006A4922">
        <w:rPr>
          <w:rFonts w:ascii="Arial" w:hAnsi="Arial" w:cs="Arial"/>
          <w:color w:val="000000"/>
        </w:rPr>
        <w:t xml:space="preserve"> federal y local se distribuirán conforme a lo siguiente: </w:t>
      </w:r>
    </w:p>
    <w:p w:rsidR="006A4922" w:rsidRDefault="006A4922" w:rsidP="006A4922">
      <w:pPr>
        <w:ind w:left="567"/>
        <w:jc w:val="both"/>
        <w:rPr>
          <w:rFonts w:ascii="Arial" w:hAnsi="Arial" w:cs="Arial"/>
          <w:color w:val="000000"/>
        </w:rPr>
      </w:pPr>
    </w:p>
    <w:tbl>
      <w:tblPr>
        <w:tblW w:w="4654" w:type="pct"/>
        <w:jc w:val="center"/>
        <w:tblLayout w:type="fixed"/>
        <w:tblCellMar>
          <w:left w:w="70" w:type="dxa"/>
          <w:right w:w="70" w:type="dxa"/>
        </w:tblCellMar>
        <w:tblLook w:val="04A0" w:firstRow="1" w:lastRow="0" w:firstColumn="1" w:lastColumn="0" w:noHBand="0" w:noVBand="1"/>
      </w:tblPr>
      <w:tblGrid>
        <w:gridCol w:w="1511"/>
        <w:gridCol w:w="1524"/>
        <w:gridCol w:w="1599"/>
        <w:gridCol w:w="1439"/>
        <w:gridCol w:w="1599"/>
        <w:gridCol w:w="1601"/>
      </w:tblGrid>
      <w:tr w:rsidR="006A4922" w:rsidRPr="006A4922" w:rsidTr="00655DC7">
        <w:trPr>
          <w:trHeight w:val="576"/>
          <w:tblHeader/>
          <w:jc w:val="center"/>
        </w:trPr>
        <w:tc>
          <w:tcPr>
            <w:tcW w:w="81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6A4922" w:rsidRPr="006A4922" w:rsidRDefault="006A4922" w:rsidP="00C739FE">
            <w:pPr>
              <w:jc w:val="center"/>
              <w:rPr>
                <w:rFonts w:ascii="Calibri" w:hAnsi="Calibri"/>
                <w:b/>
                <w:color w:val="000000"/>
                <w:sz w:val="20"/>
                <w:szCs w:val="20"/>
                <w:lang w:eastAsia="es-MX"/>
              </w:rPr>
            </w:pPr>
            <w:r w:rsidRPr="006A4922">
              <w:rPr>
                <w:rFonts w:ascii="Calibri" w:hAnsi="Calibri"/>
                <w:b/>
                <w:color w:val="000000"/>
                <w:sz w:val="20"/>
                <w:szCs w:val="20"/>
                <w:lang w:eastAsia="es-MX"/>
              </w:rPr>
              <w:lastRenderedPageBreak/>
              <w:t>Etapa</w:t>
            </w:r>
          </w:p>
        </w:tc>
        <w:tc>
          <w:tcPr>
            <w:tcW w:w="822"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A4922" w:rsidRPr="006A4922" w:rsidRDefault="006A4922" w:rsidP="00C739FE">
            <w:pPr>
              <w:jc w:val="center"/>
              <w:rPr>
                <w:rFonts w:ascii="Calibri" w:hAnsi="Calibri"/>
                <w:b/>
                <w:color w:val="000000"/>
                <w:sz w:val="20"/>
                <w:szCs w:val="20"/>
                <w:lang w:eastAsia="es-MX"/>
              </w:rPr>
            </w:pPr>
            <w:r w:rsidRPr="006A4922">
              <w:rPr>
                <w:rFonts w:ascii="Calibri" w:hAnsi="Calibri"/>
                <w:b/>
                <w:color w:val="000000"/>
                <w:sz w:val="20"/>
                <w:szCs w:val="20"/>
                <w:lang w:eastAsia="es-MX"/>
              </w:rPr>
              <w:t>Periodo</w:t>
            </w:r>
          </w:p>
        </w:tc>
        <w:tc>
          <w:tcPr>
            <w:tcW w:w="862"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A4922" w:rsidRPr="006A4922" w:rsidRDefault="006A4922" w:rsidP="00C739FE">
            <w:pPr>
              <w:jc w:val="center"/>
              <w:rPr>
                <w:rFonts w:ascii="Calibri" w:hAnsi="Calibri"/>
                <w:b/>
                <w:color w:val="000000"/>
                <w:sz w:val="20"/>
                <w:szCs w:val="20"/>
                <w:lang w:eastAsia="es-MX"/>
              </w:rPr>
            </w:pPr>
            <w:r w:rsidRPr="006A4922">
              <w:rPr>
                <w:rFonts w:ascii="Calibri" w:hAnsi="Calibri"/>
                <w:b/>
                <w:color w:val="000000"/>
                <w:sz w:val="20"/>
                <w:szCs w:val="20"/>
                <w:lang w:eastAsia="es-MX"/>
              </w:rPr>
              <w:t>Promocionales a distribuir</w:t>
            </w:r>
          </w:p>
        </w:tc>
        <w:tc>
          <w:tcPr>
            <w:tcW w:w="77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A4922" w:rsidRPr="006A4922" w:rsidRDefault="006A4922" w:rsidP="00C739FE">
            <w:pPr>
              <w:jc w:val="center"/>
              <w:rPr>
                <w:rFonts w:ascii="Calibri" w:hAnsi="Calibri"/>
                <w:b/>
                <w:color w:val="000000"/>
                <w:sz w:val="20"/>
                <w:szCs w:val="20"/>
                <w:lang w:eastAsia="es-MX"/>
              </w:rPr>
            </w:pPr>
            <w:r w:rsidRPr="006A4922">
              <w:rPr>
                <w:rFonts w:ascii="Calibri" w:hAnsi="Calibri"/>
                <w:b/>
                <w:color w:val="000000"/>
                <w:sz w:val="20"/>
                <w:szCs w:val="20"/>
                <w:lang w:eastAsia="es-MX"/>
              </w:rPr>
              <w:t>Distribución igualitaria</w:t>
            </w:r>
          </w:p>
        </w:tc>
        <w:tc>
          <w:tcPr>
            <w:tcW w:w="862"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A4922" w:rsidRPr="006A4922" w:rsidRDefault="006A4922" w:rsidP="00C739FE">
            <w:pPr>
              <w:jc w:val="center"/>
              <w:rPr>
                <w:rFonts w:ascii="Calibri" w:hAnsi="Calibri"/>
                <w:b/>
                <w:color w:val="000000"/>
                <w:sz w:val="20"/>
                <w:szCs w:val="20"/>
                <w:lang w:eastAsia="es-MX"/>
              </w:rPr>
            </w:pPr>
            <w:r w:rsidRPr="006A4922">
              <w:rPr>
                <w:rFonts w:ascii="Calibri" w:hAnsi="Calibri"/>
                <w:b/>
                <w:color w:val="000000"/>
                <w:sz w:val="20"/>
                <w:szCs w:val="20"/>
                <w:lang w:eastAsia="es-MX"/>
              </w:rPr>
              <w:t>Promocionales restantes asignados a la autoridad</w:t>
            </w:r>
          </w:p>
        </w:tc>
        <w:tc>
          <w:tcPr>
            <w:tcW w:w="863" w:type="pct"/>
            <w:tcBorders>
              <w:top w:val="single" w:sz="4" w:space="0" w:color="auto"/>
              <w:left w:val="nil"/>
              <w:bottom w:val="single" w:sz="4" w:space="0" w:color="auto"/>
              <w:right w:val="single" w:sz="4" w:space="0" w:color="auto"/>
            </w:tcBorders>
            <w:shd w:val="clear" w:color="auto" w:fill="D9D9D9" w:themeFill="background1" w:themeFillShade="D9"/>
          </w:tcPr>
          <w:p w:rsidR="006A4922" w:rsidRPr="006A4922" w:rsidRDefault="006A4922" w:rsidP="00C739FE">
            <w:pPr>
              <w:jc w:val="center"/>
              <w:rPr>
                <w:rFonts w:ascii="Calibri" w:hAnsi="Calibri"/>
                <w:b/>
                <w:color w:val="000000"/>
                <w:sz w:val="20"/>
                <w:szCs w:val="20"/>
                <w:lang w:eastAsia="es-MX"/>
              </w:rPr>
            </w:pPr>
            <w:r w:rsidRPr="006A4922">
              <w:rPr>
                <w:rFonts w:ascii="Calibri" w:hAnsi="Calibri"/>
                <w:b/>
                <w:color w:val="000000"/>
                <w:sz w:val="20"/>
                <w:szCs w:val="20"/>
                <w:lang w:eastAsia="es-MX"/>
              </w:rPr>
              <w:t>Promocionales agregados por cláusula de maximización</w:t>
            </w:r>
          </w:p>
        </w:tc>
      </w:tr>
      <w:tr w:rsidR="006A4922" w:rsidRPr="006A4922" w:rsidTr="00655DC7">
        <w:trPr>
          <w:trHeight w:val="576"/>
          <w:tblHeader/>
          <w:jc w:val="center"/>
        </w:trPr>
        <w:tc>
          <w:tcPr>
            <w:tcW w:w="815" w:type="pct"/>
            <w:tcBorders>
              <w:top w:val="single" w:sz="4" w:space="0" w:color="auto"/>
              <w:left w:val="single" w:sz="4" w:space="0" w:color="auto"/>
              <w:bottom w:val="single" w:sz="4" w:space="0" w:color="auto"/>
              <w:right w:val="single" w:sz="4" w:space="0" w:color="auto"/>
            </w:tcBorders>
            <w:shd w:val="clear" w:color="auto" w:fill="auto"/>
            <w:vAlign w:val="center"/>
          </w:tcPr>
          <w:p w:rsidR="006A4922" w:rsidRPr="006A4922" w:rsidRDefault="006A4922" w:rsidP="00C739FE">
            <w:pPr>
              <w:jc w:val="center"/>
              <w:rPr>
                <w:rFonts w:ascii="Calibri" w:hAnsi="Calibri"/>
                <w:color w:val="000000"/>
                <w:sz w:val="20"/>
                <w:szCs w:val="20"/>
                <w:lang w:eastAsia="es-MX"/>
              </w:rPr>
            </w:pPr>
            <w:proofErr w:type="spellStart"/>
            <w:r w:rsidRPr="006A4922">
              <w:rPr>
                <w:rFonts w:ascii="Calibri" w:hAnsi="Calibri"/>
                <w:color w:val="000000"/>
                <w:sz w:val="20"/>
                <w:szCs w:val="20"/>
                <w:lang w:eastAsia="es-MX"/>
              </w:rPr>
              <w:t>Intercampaña</w:t>
            </w:r>
            <w:proofErr w:type="spellEnd"/>
            <w:r w:rsidRPr="006A4922">
              <w:rPr>
                <w:rFonts w:ascii="Calibri" w:hAnsi="Calibri"/>
                <w:color w:val="000000"/>
                <w:sz w:val="20"/>
                <w:szCs w:val="20"/>
                <w:lang w:eastAsia="es-MX"/>
              </w:rPr>
              <w:t xml:space="preserve"> local coincidente con la federal</w:t>
            </w:r>
          </w:p>
        </w:tc>
        <w:tc>
          <w:tcPr>
            <w:tcW w:w="822" w:type="pct"/>
            <w:tcBorders>
              <w:top w:val="single" w:sz="4" w:space="0" w:color="auto"/>
              <w:left w:val="nil"/>
              <w:bottom w:val="single" w:sz="4" w:space="0" w:color="auto"/>
              <w:right w:val="single" w:sz="4" w:space="0" w:color="auto"/>
            </w:tcBorders>
            <w:shd w:val="clear" w:color="auto" w:fill="auto"/>
            <w:vAlign w:val="center"/>
          </w:tcPr>
          <w:p w:rsidR="006A4922" w:rsidRPr="006A4922" w:rsidRDefault="006A4922" w:rsidP="00C739FE">
            <w:pPr>
              <w:jc w:val="center"/>
              <w:rPr>
                <w:rFonts w:ascii="Calibri" w:hAnsi="Calibri"/>
                <w:color w:val="000000"/>
                <w:sz w:val="20"/>
                <w:szCs w:val="20"/>
                <w:lang w:eastAsia="es-MX"/>
              </w:rPr>
            </w:pPr>
            <w:r w:rsidRPr="006A4922">
              <w:rPr>
                <w:rFonts w:ascii="Calibri" w:hAnsi="Calibri"/>
                <w:color w:val="000000"/>
                <w:sz w:val="20"/>
                <w:szCs w:val="20"/>
                <w:lang w:eastAsia="es-MX"/>
              </w:rPr>
              <w:t>12 de febrero al 29 de marzo de 2018</w:t>
            </w:r>
          </w:p>
        </w:tc>
        <w:tc>
          <w:tcPr>
            <w:tcW w:w="862" w:type="pct"/>
            <w:tcBorders>
              <w:top w:val="single" w:sz="4" w:space="0" w:color="auto"/>
              <w:left w:val="nil"/>
              <w:bottom w:val="single" w:sz="4" w:space="0" w:color="auto"/>
              <w:right w:val="single" w:sz="4" w:space="0" w:color="auto"/>
            </w:tcBorders>
            <w:shd w:val="clear" w:color="auto" w:fill="auto"/>
            <w:vAlign w:val="center"/>
          </w:tcPr>
          <w:p w:rsidR="006A4922" w:rsidRPr="006A4922" w:rsidRDefault="006A4922" w:rsidP="00C739FE">
            <w:pPr>
              <w:jc w:val="center"/>
              <w:rPr>
                <w:rFonts w:ascii="Calibri" w:hAnsi="Calibri"/>
                <w:color w:val="000000"/>
                <w:sz w:val="20"/>
                <w:szCs w:val="20"/>
                <w:lang w:eastAsia="es-MX"/>
              </w:rPr>
            </w:pPr>
            <w:r w:rsidRPr="006A4922">
              <w:rPr>
                <w:rFonts w:ascii="Calibri" w:hAnsi="Calibri"/>
                <w:color w:val="000000"/>
                <w:sz w:val="20"/>
                <w:szCs w:val="20"/>
                <w:lang w:eastAsia="es-MX"/>
              </w:rPr>
              <w:t>828</w:t>
            </w:r>
          </w:p>
        </w:tc>
        <w:tc>
          <w:tcPr>
            <w:tcW w:w="776" w:type="pct"/>
            <w:tcBorders>
              <w:top w:val="single" w:sz="4" w:space="0" w:color="auto"/>
              <w:left w:val="nil"/>
              <w:bottom w:val="single" w:sz="4" w:space="0" w:color="auto"/>
              <w:right w:val="single" w:sz="4" w:space="0" w:color="auto"/>
            </w:tcBorders>
            <w:shd w:val="clear" w:color="auto" w:fill="auto"/>
            <w:vAlign w:val="center"/>
          </w:tcPr>
          <w:p w:rsidR="006A4922" w:rsidRPr="006A4922" w:rsidRDefault="006A4922" w:rsidP="00C739FE">
            <w:pPr>
              <w:jc w:val="center"/>
              <w:rPr>
                <w:rFonts w:ascii="Calibri" w:hAnsi="Calibri"/>
                <w:color w:val="000000"/>
                <w:sz w:val="20"/>
                <w:szCs w:val="20"/>
                <w:lang w:eastAsia="es-MX"/>
              </w:rPr>
            </w:pPr>
            <w:r w:rsidRPr="006A4922">
              <w:rPr>
                <w:rFonts w:ascii="Calibri" w:hAnsi="Calibri"/>
                <w:color w:val="000000"/>
                <w:sz w:val="20"/>
                <w:szCs w:val="20"/>
                <w:lang w:eastAsia="es-MX"/>
              </w:rPr>
              <w:t>825</w:t>
            </w:r>
          </w:p>
        </w:tc>
        <w:tc>
          <w:tcPr>
            <w:tcW w:w="862" w:type="pct"/>
            <w:tcBorders>
              <w:top w:val="single" w:sz="4" w:space="0" w:color="auto"/>
              <w:left w:val="nil"/>
              <w:bottom w:val="single" w:sz="4" w:space="0" w:color="auto"/>
              <w:right w:val="single" w:sz="4" w:space="0" w:color="auto"/>
            </w:tcBorders>
            <w:shd w:val="clear" w:color="auto" w:fill="auto"/>
            <w:vAlign w:val="center"/>
          </w:tcPr>
          <w:p w:rsidR="006A4922" w:rsidRPr="006A4922" w:rsidRDefault="006A4922" w:rsidP="00C739FE">
            <w:pPr>
              <w:jc w:val="center"/>
              <w:rPr>
                <w:rFonts w:ascii="Calibri" w:hAnsi="Calibri"/>
                <w:color w:val="000000"/>
                <w:sz w:val="20"/>
                <w:szCs w:val="20"/>
                <w:lang w:eastAsia="es-MX"/>
              </w:rPr>
            </w:pPr>
            <w:r w:rsidRPr="006A4922">
              <w:rPr>
                <w:rFonts w:ascii="Calibri" w:hAnsi="Calibri"/>
                <w:color w:val="000000"/>
                <w:sz w:val="20"/>
                <w:szCs w:val="20"/>
                <w:lang w:eastAsia="es-MX"/>
              </w:rPr>
              <w:t>3</w:t>
            </w:r>
          </w:p>
        </w:tc>
        <w:tc>
          <w:tcPr>
            <w:tcW w:w="863" w:type="pct"/>
            <w:tcBorders>
              <w:top w:val="single" w:sz="4" w:space="0" w:color="auto"/>
              <w:left w:val="nil"/>
              <w:bottom w:val="single" w:sz="4" w:space="0" w:color="auto"/>
              <w:right w:val="single" w:sz="4" w:space="0" w:color="auto"/>
            </w:tcBorders>
            <w:shd w:val="clear" w:color="auto" w:fill="auto"/>
            <w:vAlign w:val="center"/>
          </w:tcPr>
          <w:p w:rsidR="006A4922" w:rsidRPr="006A4922" w:rsidRDefault="006A4922" w:rsidP="00C739FE">
            <w:pPr>
              <w:jc w:val="center"/>
              <w:rPr>
                <w:rFonts w:ascii="Calibri" w:hAnsi="Calibri"/>
                <w:color w:val="000000"/>
                <w:sz w:val="20"/>
                <w:szCs w:val="20"/>
                <w:lang w:eastAsia="es-MX"/>
              </w:rPr>
            </w:pPr>
            <w:r w:rsidRPr="006A4922">
              <w:rPr>
                <w:rFonts w:ascii="Calibri" w:hAnsi="Calibri"/>
                <w:color w:val="000000"/>
                <w:sz w:val="20"/>
                <w:szCs w:val="20"/>
                <w:lang w:eastAsia="es-MX"/>
              </w:rPr>
              <w:t>0</w:t>
            </w:r>
          </w:p>
        </w:tc>
      </w:tr>
      <w:tr w:rsidR="006A4922" w:rsidRPr="006A4922" w:rsidTr="00655DC7">
        <w:trPr>
          <w:trHeight w:val="288"/>
          <w:jc w:val="center"/>
        </w:trPr>
        <w:tc>
          <w:tcPr>
            <w:tcW w:w="815" w:type="pct"/>
            <w:tcBorders>
              <w:top w:val="nil"/>
              <w:left w:val="single" w:sz="4" w:space="0" w:color="auto"/>
              <w:bottom w:val="single" w:sz="4" w:space="0" w:color="auto"/>
              <w:right w:val="single" w:sz="4" w:space="0" w:color="auto"/>
            </w:tcBorders>
            <w:shd w:val="clear" w:color="auto" w:fill="auto"/>
            <w:vAlign w:val="center"/>
            <w:hideMark/>
          </w:tcPr>
          <w:p w:rsidR="006A4922" w:rsidRPr="006A4922" w:rsidRDefault="006A4922" w:rsidP="00C739FE">
            <w:pPr>
              <w:jc w:val="center"/>
              <w:rPr>
                <w:rFonts w:ascii="Calibri" w:hAnsi="Calibri"/>
                <w:color w:val="000000"/>
                <w:sz w:val="20"/>
                <w:szCs w:val="20"/>
                <w:lang w:eastAsia="es-MX"/>
              </w:rPr>
            </w:pPr>
            <w:proofErr w:type="spellStart"/>
            <w:r w:rsidRPr="006A4922">
              <w:rPr>
                <w:rFonts w:ascii="Calibri" w:hAnsi="Calibri"/>
                <w:color w:val="000000"/>
                <w:sz w:val="20"/>
                <w:szCs w:val="20"/>
                <w:lang w:eastAsia="es-MX"/>
              </w:rPr>
              <w:t>Intercampaña</w:t>
            </w:r>
            <w:proofErr w:type="spellEnd"/>
            <w:r w:rsidRPr="006A4922">
              <w:rPr>
                <w:rFonts w:ascii="Calibri" w:hAnsi="Calibri"/>
                <w:color w:val="000000"/>
                <w:sz w:val="20"/>
                <w:szCs w:val="20"/>
                <w:lang w:eastAsia="es-MX"/>
              </w:rPr>
              <w:t xml:space="preserve"> federal coincidente con la local</w:t>
            </w:r>
          </w:p>
        </w:tc>
        <w:tc>
          <w:tcPr>
            <w:tcW w:w="822" w:type="pct"/>
            <w:tcBorders>
              <w:top w:val="nil"/>
              <w:left w:val="nil"/>
              <w:bottom w:val="single" w:sz="4" w:space="0" w:color="auto"/>
              <w:right w:val="single" w:sz="4" w:space="0" w:color="auto"/>
            </w:tcBorders>
            <w:shd w:val="clear" w:color="auto" w:fill="auto"/>
            <w:vAlign w:val="center"/>
          </w:tcPr>
          <w:p w:rsidR="006A4922" w:rsidRPr="006A4922" w:rsidRDefault="006A4922" w:rsidP="00C739FE">
            <w:pPr>
              <w:jc w:val="center"/>
              <w:rPr>
                <w:rFonts w:ascii="Calibri" w:hAnsi="Calibri"/>
                <w:color w:val="000000"/>
                <w:sz w:val="20"/>
                <w:szCs w:val="20"/>
                <w:lang w:eastAsia="es-MX"/>
              </w:rPr>
            </w:pPr>
            <w:r w:rsidRPr="006A4922">
              <w:rPr>
                <w:rFonts w:ascii="Calibri" w:hAnsi="Calibri"/>
                <w:color w:val="000000"/>
                <w:sz w:val="20"/>
                <w:szCs w:val="20"/>
                <w:lang w:eastAsia="es-MX"/>
              </w:rPr>
              <w:t>12 de febrero al 29 de marzo de 2018</w:t>
            </w:r>
          </w:p>
        </w:tc>
        <w:tc>
          <w:tcPr>
            <w:tcW w:w="862" w:type="pct"/>
            <w:tcBorders>
              <w:top w:val="nil"/>
              <w:left w:val="nil"/>
              <w:bottom w:val="single" w:sz="4" w:space="0" w:color="auto"/>
              <w:right w:val="single" w:sz="4" w:space="0" w:color="auto"/>
            </w:tcBorders>
            <w:shd w:val="clear" w:color="auto" w:fill="auto"/>
            <w:vAlign w:val="center"/>
          </w:tcPr>
          <w:p w:rsidR="006A4922" w:rsidRPr="006A4922" w:rsidRDefault="006A4922" w:rsidP="00C739FE">
            <w:pPr>
              <w:jc w:val="center"/>
              <w:rPr>
                <w:rFonts w:ascii="Calibri" w:hAnsi="Calibri"/>
                <w:color w:val="000000"/>
                <w:sz w:val="20"/>
                <w:szCs w:val="20"/>
                <w:lang w:eastAsia="es-MX"/>
              </w:rPr>
            </w:pPr>
            <w:r w:rsidRPr="006A4922">
              <w:rPr>
                <w:rFonts w:ascii="Calibri" w:hAnsi="Calibri"/>
                <w:color w:val="000000"/>
                <w:sz w:val="20"/>
                <w:szCs w:val="20"/>
                <w:lang w:eastAsia="es-MX"/>
              </w:rPr>
              <w:t>1380</w:t>
            </w:r>
          </w:p>
        </w:tc>
        <w:tc>
          <w:tcPr>
            <w:tcW w:w="776" w:type="pct"/>
            <w:tcBorders>
              <w:top w:val="nil"/>
              <w:left w:val="nil"/>
              <w:bottom w:val="single" w:sz="4" w:space="0" w:color="auto"/>
              <w:right w:val="single" w:sz="4" w:space="0" w:color="auto"/>
            </w:tcBorders>
            <w:shd w:val="clear" w:color="auto" w:fill="auto"/>
            <w:vAlign w:val="center"/>
          </w:tcPr>
          <w:p w:rsidR="006A4922" w:rsidRPr="006A4922" w:rsidRDefault="006A4922" w:rsidP="00C739FE">
            <w:pPr>
              <w:jc w:val="center"/>
              <w:rPr>
                <w:rFonts w:ascii="Calibri" w:hAnsi="Calibri"/>
                <w:color w:val="000000"/>
                <w:sz w:val="20"/>
                <w:szCs w:val="20"/>
                <w:lang w:eastAsia="es-MX"/>
              </w:rPr>
            </w:pPr>
            <w:r w:rsidRPr="006A4922">
              <w:rPr>
                <w:rFonts w:ascii="Calibri" w:hAnsi="Calibri"/>
                <w:color w:val="000000"/>
                <w:sz w:val="20"/>
                <w:szCs w:val="20"/>
                <w:lang w:eastAsia="es-MX"/>
              </w:rPr>
              <w:t>1377</w:t>
            </w:r>
          </w:p>
        </w:tc>
        <w:tc>
          <w:tcPr>
            <w:tcW w:w="862" w:type="pct"/>
            <w:tcBorders>
              <w:top w:val="nil"/>
              <w:left w:val="nil"/>
              <w:bottom w:val="single" w:sz="4" w:space="0" w:color="auto"/>
              <w:right w:val="single" w:sz="4" w:space="0" w:color="auto"/>
            </w:tcBorders>
            <w:shd w:val="clear" w:color="auto" w:fill="auto"/>
            <w:vAlign w:val="center"/>
          </w:tcPr>
          <w:p w:rsidR="006A4922" w:rsidRPr="006A4922" w:rsidRDefault="006A4922" w:rsidP="00C739FE">
            <w:pPr>
              <w:jc w:val="center"/>
              <w:rPr>
                <w:rFonts w:ascii="Calibri" w:hAnsi="Calibri"/>
                <w:color w:val="000000"/>
                <w:sz w:val="20"/>
                <w:szCs w:val="20"/>
                <w:lang w:eastAsia="es-MX"/>
              </w:rPr>
            </w:pPr>
            <w:r w:rsidRPr="006A4922">
              <w:rPr>
                <w:rFonts w:ascii="Calibri" w:hAnsi="Calibri"/>
                <w:color w:val="000000"/>
                <w:sz w:val="20"/>
                <w:szCs w:val="20"/>
                <w:lang w:eastAsia="es-MX"/>
              </w:rPr>
              <w:t>3</w:t>
            </w:r>
          </w:p>
        </w:tc>
        <w:tc>
          <w:tcPr>
            <w:tcW w:w="863" w:type="pct"/>
            <w:tcBorders>
              <w:top w:val="nil"/>
              <w:left w:val="nil"/>
              <w:bottom w:val="single" w:sz="4" w:space="0" w:color="auto"/>
              <w:right w:val="single" w:sz="4" w:space="0" w:color="auto"/>
            </w:tcBorders>
            <w:vAlign w:val="center"/>
          </w:tcPr>
          <w:p w:rsidR="006A4922" w:rsidRPr="006A4922" w:rsidRDefault="006A4922" w:rsidP="00C739FE">
            <w:pPr>
              <w:jc w:val="center"/>
              <w:rPr>
                <w:rFonts w:ascii="Calibri" w:hAnsi="Calibri"/>
                <w:color w:val="000000"/>
                <w:sz w:val="20"/>
                <w:szCs w:val="20"/>
                <w:lang w:eastAsia="es-MX"/>
              </w:rPr>
            </w:pPr>
            <w:r w:rsidRPr="006A4922">
              <w:rPr>
                <w:rFonts w:ascii="Calibri" w:hAnsi="Calibri"/>
                <w:color w:val="000000"/>
                <w:sz w:val="20"/>
                <w:szCs w:val="20"/>
                <w:lang w:eastAsia="es-MX"/>
              </w:rPr>
              <w:t>0</w:t>
            </w:r>
          </w:p>
        </w:tc>
      </w:tr>
    </w:tbl>
    <w:p w:rsidR="006A4922" w:rsidRPr="006A4922" w:rsidRDefault="006A4922" w:rsidP="006A4922">
      <w:pPr>
        <w:pStyle w:val="Prrafodelista"/>
        <w:autoSpaceDE w:val="0"/>
        <w:autoSpaceDN w:val="0"/>
        <w:adjustRightInd w:val="0"/>
        <w:ind w:left="0"/>
        <w:jc w:val="both"/>
        <w:rPr>
          <w:rFonts w:ascii="Arial" w:hAnsi="Arial" w:cs="Arial"/>
        </w:rPr>
      </w:pPr>
    </w:p>
    <w:p w:rsidR="006A4922" w:rsidRPr="006A4922" w:rsidRDefault="006A4922" w:rsidP="006A4922">
      <w:pPr>
        <w:ind w:left="709"/>
        <w:jc w:val="both"/>
        <w:rPr>
          <w:rFonts w:ascii="Arial" w:hAnsi="Arial" w:cs="Arial"/>
        </w:rPr>
      </w:pPr>
      <w:r w:rsidRPr="006A4922">
        <w:rPr>
          <w:rFonts w:ascii="Arial" w:hAnsi="Arial" w:cs="Arial"/>
        </w:rPr>
        <w:t>Enseguida se presentan las tablas descriptivas:</w:t>
      </w:r>
    </w:p>
    <w:p w:rsidR="006A4922" w:rsidRPr="006A4922" w:rsidRDefault="006A4922" w:rsidP="006A4922">
      <w:pPr>
        <w:ind w:left="709"/>
        <w:jc w:val="both"/>
        <w:rPr>
          <w:rFonts w:ascii="Arial" w:hAnsi="Arial" w:cs="Arial"/>
        </w:rPr>
      </w:pPr>
    </w:p>
    <w:p w:rsidR="006A4922" w:rsidRPr="006A4922" w:rsidRDefault="00A42256" w:rsidP="006A4922">
      <w:pPr>
        <w:jc w:val="center"/>
        <w:rPr>
          <w:rFonts w:ascii="Arial" w:hAnsi="Arial" w:cs="Arial"/>
        </w:rPr>
      </w:pPr>
      <w:r w:rsidRPr="00A42256">
        <w:rPr>
          <w:noProof/>
          <w:lang w:val="es-MX" w:eastAsia="es-MX"/>
        </w:rPr>
        <w:drawing>
          <wp:inline distT="0" distB="0" distL="0" distR="0">
            <wp:extent cx="5779103" cy="5107577"/>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88810" cy="5116156"/>
                    </a:xfrm>
                    <a:prstGeom prst="rect">
                      <a:avLst/>
                    </a:prstGeom>
                    <a:noFill/>
                    <a:ln>
                      <a:noFill/>
                    </a:ln>
                  </pic:spPr>
                </pic:pic>
              </a:graphicData>
            </a:graphic>
          </wp:inline>
        </w:drawing>
      </w:r>
    </w:p>
    <w:p w:rsidR="006A4922" w:rsidRPr="006A4922" w:rsidRDefault="006A4922" w:rsidP="006A4922">
      <w:pPr>
        <w:tabs>
          <w:tab w:val="left" w:pos="567"/>
        </w:tabs>
        <w:ind w:left="567"/>
        <w:jc w:val="both"/>
        <w:rPr>
          <w:rFonts w:ascii="Arial" w:hAnsi="Arial" w:cs="Arial"/>
        </w:rPr>
      </w:pPr>
    </w:p>
    <w:p w:rsidR="006A4922" w:rsidRPr="006A4922" w:rsidRDefault="006A4922" w:rsidP="006A4922">
      <w:pPr>
        <w:jc w:val="center"/>
        <w:rPr>
          <w:rFonts w:ascii="Arial" w:hAnsi="Arial" w:cs="Arial"/>
        </w:rPr>
      </w:pPr>
      <w:r w:rsidRPr="006A4922">
        <w:rPr>
          <w:noProof/>
          <w:lang w:val="es-MX" w:eastAsia="es-MX"/>
        </w:rPr>
        <w:drawing>
          <wp:inline distT="0" distB="0" distL="0" distR="0" wp14:anchorId="719FE7D8" wp14:editId="1E8E4960">
            <wp:extent cx="5611435" cy="4963886"/>
            <wp:effectExtent l="0" t="0" r="8890" b="825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982" cy="4978523"/>
                    </a:xfrm>
                    <a:prstGeom prst="rect">
                      <a:avLst/>
                    </a:prstGeom>
                    <a:noFill/>
                    <a:ln>
                      <a:noFill/>
                    </a:ln>
                  </pic:spPr>
                </pic:pic>
              </a:graphicData>
            </a:graphic>
          </wp:inline>
        </w:drawing>
      </w:r>
    </w:p>
    <w:p w:rsidR="006A4922" w:rsidRPr="006A4922" w:rsidRDefault="006A4922" w:rsidP="006A4922">
      <w:pPr>
        <w:tabs>
          <w:tab w:val="left" w:pos="567"/>
        </w:tabs>
        <w:jc w:val="both"/>
        <w:rPr>
          <w:rFonts w:ascii="Arial" w:hAnsi="Arial" w:cs="Arial"/>
        </w:rPr>
      </w:pPr>
    </w:p>
    <w:p w:rsidR="006A4922" w:rsidRPr="006A4922" w:rsidRDefault="006A4922" w:rsidP="006A4922">
      <w:pPr>
        <w:jc w:val="both"/>
        <w:rPr>
          <w:rFonts w:ascii="Arial" w:hAnsi="Arial" w:cs="Arial"/>
        </w:rPr>
      </w:pPr>
    </w:p>
    <w:p w:rsidR="006A4922" w:rsidRPr="006A4922" w:rsidRDefault="006A4922" w:rsidP="006A4922">
      <w:pPr>
        <w:numPr>
          <w:ilvl w:val="0"/>
          <w:numId w:val="3"/>
        </w:numPr>
        <w:ind w:left="567" w:hanging="567"/>
        <w:jc w:val="both"/>
        <w:rPr>
          <w:rFonts w:ascii="Arial" w:hAnsi="Arial" w:cs="Arial"/>
          <w:color w:val="000000"/>
        </w:rPr>
      </w:pPr>
      <w:r w:rsidRPr="006A4922">
        <w:rPr>
          <w:rFonts w:ascii="Arial" w:hAnsi="Arial" w:cs="Arial"/>
        </w:rPr>
        <w:t xml:space="preserve">Es preciso tomar en consideración que, dado que la etapa de </w:t>
      </w:r>
      <w:proofErr w:type="spellStart"/>
      <w:r w:rsidRPr="006A4922">
        <w:rPr>
          <w:rFonts w:ascii="Arial" w:hAnsi="Arial" w:cs="Arial"/>
        </w:rPr>
        <w:t>intercampaña</w:t>
      </w:r>
      <w:proofErr w:type="spellEnd"/>
      <w:r w:rsidRPr="006A4922">
        <w:rPr>
          <w:rFonts w:ascii="Arial" w:hAnsi="Arial" w:cs="Arial"/>
        </w:rPr>
        <w:t xml:space="preserve"> del proceso electoral local tiene una duración mayor a la federal, los días restantes de </w:t>
      </w:r>
      <w:proofErr w:type="spellStart"/>
      <w:r w:rsidRPr="006A4922">
        <w:rPr>
          <w:rFonts w:ascii="Arial" w:hAnsi="Arial" w:cs="Arial"/>
        </w:rPr>
        <w:t>intercampaña</w:t>
      </w:r>
      <w:proofErr w:type="spellEnd"/>
      <w:r w:rsidRPr="006A4922">
        <w:rPr>
          <w:rFonts w:ascii="Arial" w:hAnsi="Arial" w:cs="Arial"/>
        </w:rPr>
        <w:t xml:space="preserve"> local coincidirán con la etapa de campaña del Proceso Electoral Federal. Por tanto, se estima pertinente que las pautas correspondientes a esos días sean aprobadas junto con las pautas de la campaña federal.</w:t>
      </w:r>
    </w:p>
    <w:p w:rsidR="006A4922" w:rsidRPr="006A4922" w:rsidRDefault="006A4922" w:rsidP="006A4922">
      <w:pPr>
        <w:tabs>
          <w:tab w:val="left" w:pos="567"/>
        </w:tabs>
        <w:ind w:left="567"/>
        <w:jc w:val="both"/>
        <w:rPr>
          <w:rFonts w:ascii="Arial" w:hAnsi="Arial" w:cs="Arial"/>
        </w:rPr>
      </w:pPr>
    </w:p>
    <w:p w:rsidR="006A4922" w:rsidRPr="006A4922" w:rsidRDefault="006A4922" w:rsidP="006A4922">
      <w:pPr>
        <w:tabs>
          <w:tab w:val="left" w:pos="567"/>
        </w:tabs>
        <w:ind w:left="567"/>
        <w:jc w:val="both"/>
        <w:rPr>
          <w:rFonts w:ascii="Arial" w:hAnsi="Arial" w:cs="Arial"/>
        </w:rPr>
      </w:pPr>
      <w:r w:rsidRPr="006A4922">
        <w:rPr>
          <w:rFonts w:ascii="Arial" w:hAnsi="Arial" w:cs="Arial"/>
        </w:rPr>
        <w:t xml:space="preserve">Para efectos de certeza jurídica, las pautas que se aprueben para el inicio de las campañas federales, incluirán la distribución prevista en los escenarios 9 y 10 del artículo 23, numeral 3 del Reglamento de la materia, es decir, la coincidencia de la campaña federal con lo que resta de la </w:t>
      </w:r>
      <w:proofErr w:type="spellStart"/>
      <w:r w:rsidRPr="006A4922">
        <w:rPr>
          <w:rFonts w:ascii="Arial" w:hAnsi="Arial" w:cs="Arial"/>
        </w:rPr>
        <w:t>intercampaña</w:t>
      </w:r>
      <w:proofErr w:type="spellEnd"/>
      <w:r w:rsidRPr="006A4922">
        <w:rPr>
          <w:rFonts w:ascii="Arial" w:hAnsi="Arial" w:cs="Arial"/>
        </w:rPr>
        <w:t xml:space="preserve"> local, así como la coincidencia de ambas campañas.</w:t>
      </w:r>
    </w:p>
    <w:p w:rsidR="006A4922" w:rsidRPr="006A4922" w:rsidRDefault="006A4922" w:rsidP="006A4922">
      <w:pPr>
        <w:jc w:val="both"/>
        <w:rPr>
          <w:rFonts w:ascii="Arial" w:hAnsi="Arial" w:cs="Arial"/>
          <w:color w:val="000000"/>
        </w:rPr>
      </w:pPr>
    </w:p>
    <w:p w:rsidR="006A4922" w:rsidRPr="006A4922" w:rsidRDefault="006A4922" w:rsidP="006A4922">
      <w:pPr>
        <w:numPr>
          <w:ilvl w:val="0"/>
          <w:numId w:val="3"/>
        </w:numPr>
        <w:ind w:left="567" w:hanging="567"/>
        <w:jc w:val="both"/>
        <w:rPr>
          <w:rFonts w:ascii="Arial" w:hAnsi="Arial" w:cs="Arial"/>
          <w:color w:val="000000"/>
        </w:rPr>
      </w:pPr>
      <w:r w:rsidRPr="006A4922">
        <w:rPr>
          <w:rFonts w:ascii="Arial" w:hAnsi="Arial" w:cs="Arial"/>
          <w:color w:val="000000"/>
        </w:rPr>
        <w:t>Por lo que hace a los restantes aspectos relativos a: i) Los horarios de transmisión de los mensajes pautados; ii) La duración de los mensajes a transmitir; iii) Los calendarios de entrega y notificación de órdenes de transmisión y materiales, iv) El catálogo de emisoras que cubrirán el proceso electoral local de referencia, v) La distribución del tiempo del Proceso Electoral Federal, en virtud de que se trata de un partido político local, y vi) Aspectos que no tienen relación con la modificación que por esta vía se ordena, se mantienen incólumes; por lo tanto, deberán quedar en los mismos términos en que fueron aprobados a través del acuerdo identificado con la clave INE/ACRT/31/2018.</w:t>
      </w:r>
    </w:p>
    <w:p w:rsidR="006A4922" w:rsidRPr="006A4922" w:rsidRDefault="006A4922" w:rsidP="006A4922">
      <w:pPr>
        <w:jc w:val="both"/>
        <w:rPr>
          <w:rFonts w:ascii="Arial" w:hAnsi="Arial" w:cs="Arial"/>
          <w:color w:val="000000"/>
        </w:rPr>
      </w:pPr>
    </w:p>
    <w:p w:rsidR="006A4922" w:rsidRPr="006A4922" w:rsidRDefault="006A4922" w:rsidP="006A4922">
      <w:pPr>
        <w:numPr>
          <w:ilvl w:val="0"/>
          <w:numId w:val="3"/>
        </w:numPr>
        <w:tabs>
          <w:tab w:val="clear" w:pos="11341"/>
          <w:tab w:val="num" w:pos="6664"/>
        </w:tabs>
        <w:spacing w:line="300" w:lineRule="exact"/>
        <w:ind w:left="567" w:hanging="567"/>
        <w:jc w:val="both"/>
        <w:rPr>
          <w:rFonts w:ascii="Arial" w:hAnsi="Arial" w:cs="Arial"/>
          <w:color w:val="000000"/>
          <w:spacing w:val="-2"/>
        </w:rPr>
      </w:pPr>
      <w:r w:rsidRPr="006A4922">
        <w:rPr>
          <w:rFonts w:ascii="Arial" w:hAnsi="Arial" w:cs="Arial"/>
          <w:color w:val="000000"/>
          <w:spacing w:val="-2"/>
        </w:rPr>
        <w:t xml:space="preserve">De conformidad con lo establecido en el artículo 36, numeral 3, del Reglamento de Radio y Televisión en Materia Electoral, la notificación de las pautas de transmisión, deberá realizarse con al menos cuatro días hábiles de anticipación al inicio de las transmisiones y surtirán efectos el mismo día de su realización. </w:t>
      </w:r>
    </w:p>
    <w:p w:rsidR="006A4922" w:rsidRPr="006A4922" w:rsidRDefault="006A4922" w:rsidP="006A4922">
      <w:pPr>
        <w:jc w:val="both"/>
        <w:rPr>
          <w:rFonts w:ascii="Arial" w:hAnsi="Arial" w:cs="Arial"/>
        </w:rPr>
      </w:pPr>
    </w:p>
    <w:p w:rsidR="006A4922" w:rsidRPr="006A4922" w:rsidRDefault="006A4922" w:rsidP="006A4922">
      <w:pPr>
        <w:jc w:val="both"/>
        <w:rPr>
          <w:rFonts w:ascii="Arial" w:hAnsi="Arial" w:cs="Arial"/>
        </w:rPr>
      </w:pPr>
    </w:p>
    <w:p w:rsidR="006A4922" w:rsidRPr="006A4922" w:rsidRDefault="006A4922" w:rsidP="006A4922">
      <w:pPr>
        <w:autoSpaceDE w:val="0"/>
        <w:autoSpaceDN w:val="0"/>
        <w:adjustRightInd w:val="0"/>
        <w:jc w:val="both"/>
        <w:rPr>
          <w:rFonts w:ascii="Arial" w:eastAsia="Arial" w:hAnsi="Arial" w:cs="Arial"/>
          <w:b/>
          <w:spacing w:val="1"/>
        </w:rPr>
      </w:pPr>
      <w:r w:rsidRPr="006A4922">
        <w:rPr>
          <w:rFonts w:ascii="Arial" w:eastAsia="Arial" w:hAnsi="Arial" w:cs="Arial"/>
          <w:b/>
          <w:spacing w:val="1"/>
        </w:rPr>
        <w:t>Fundamentos para la emisión del Acuerdo</w:t>
      </w:r>
    </w:p>
    <w:p w:rsidR="006A4922" w:rsidRPr="006A4922" w:rsidRDefault="006A4922" w:rsidP="006A4922">
      <w:pPr>
        <w:pStyle w:val="NormalWeb"/>
        <w:shd w:val="clear" w:color="auto" w:fill="FFFFFF"/>
        <w:jc w:val="both"/>
        <w:rPr>
          <w:rFonts w:ascii="Arial" w:eastAsia="Calibri" w:hAnsi="Arial" w:cs="Arial"/>
          <w:spacing w:val="-2"/>
        </w:rPr>
      </w:pPr>
    </w:p>
    <w:tbl>
      <w:tblPr>
        <w:tblStyle w:val="Tablaconcuadrcula"/>
        <w:tblW w:w="5000" w:type="pct"/>
        <w:tblInd w:w="0" w:type="dxa"/>
        <w:tblLook w:val="04A0" w:firstRow="1" w:lastRow="0" w:firstColumn="1" w:lastColumn="0" w:noHBand="0" w:noVBand="1"/>
      </w:tblPr>
      <w:tblGrid>
        <w:gridCol w:w="9962"/>
      </w:tblGrid>
      <w:tr w:rsidR="006A4922" w:rsidRPr="006A4922" w:rsidTr="00C739FE">
        <w:tc>
          <w:tcPr>
            <w:tcW w:w="5000" w:type="pct"/>
            <w:shd w:val="clear" w:color="auto" w:fill="D9D9D9" w:themeFill="background1" w:themeFillShade="D9"/>
          </w:tcPr>
          <w:p w:rsidR="006A4922" w:rsidRPr="006A4922" w:rsidRDefault="006A4922" w:rsidP="00C739FE">
            <w:pPr>
              <w:autoSpaceDE w:val="0"/>
              <w:autoSpaceDN w:val="0"/>
              <w:adjustRightInd w:val="0"/>
              <w:jc w:val="center"/>
              <w:rPr>
                <w:rFonts w:ascii="Arial" w:eastAsia="Arial" w:hAnsi="Arial" w:cs="Arial"/>
                <w:i/>
                <w:spacing w:val="1"/>
              </w:rPr>
            </w:pPr>
            <w:r w:rsidRPr="006A4922">
              <w:rPr>
                <w:rFonts w:ascii="Arial" w:eastAsia="Arial" w:hAnsi="Arial" w:cs="Arial"/>
                <w:i/>
                <w:spacing w:val="1"/>
              </w:rPr>
              <w:t>Constitución Política de los Estados Unidos Mexicanos</w:t>
            </w:r>
          </w:p>
        </w:tc>
      </w:tr>
      <w:tr w:rsidR="006A4922" w:rsidRPr="006A4922" w:rsidTr="00C739FE">
        <w:tc>
          <w:tcPr>
            <w:tcW w:w="5000" w:type="pct"/>
          </w:tcPr>
          <w:p w:rsidR="006A4922" w:rsidRPr="006A4922" w:rsidRDefault="006A4922" w:rsidP="00C739FE">
            <w:pPr>
              <w:autoSpaceDE w:val="0"/>
              <w:autoSpaceDN w:val="0"/>
              <w:adjustRightInd w:val="0"/>
              <w:jc w:val="both"/>
              <w:rPr>
                <w:rFonts w:ascii="Arial" w:eastAsia="Arial" w:hAnsi="Arial" w:cs="Arial"/>
                <w:spacing w:val="1"/>
              </w:rPr>
            </w:pPr>
            <w:r w:rsidRPr="006A4922">
              <w:rPr>
                <w:rFonts w:ascii="Arial" w:hAnsi="Arial" w:cs="Arial"/>
                <w:spacing w:val="-2"/>
              </w:rPr>
              <w:t xml:space="preserve">41, base III, apartados A, primer párrafo y B. </w:t>
            </w:r>
          </w:p>
        </w:tc>
      </w:tr>
      <w:tr w:rsidR="006A4922" w:rsidRPr="006A4922" w:rsidTr="00C739FE">
        <w:tc>
          <w:tcPr>
            <w:tcW w:w="5000" w:type="pct"/>
            <w:shd w:val="clear" w:color="auto" w:fill="D9D9D9" w:themeFill="background1" w:themeFillShade="D9"/>
          </w:tcPr>
          <w:p w:rsidR="006A4922" w:rsidRPr="006A4922" w:rsidRDefault="006A4922" w:rsidP="00C739FE">
            <w:pPr>
              <w:autoSpaceDE w:val="0"/>
              <w:autoSpaceDN w:val="0"/>
              <w:adjustRightInd w:val="0"/>
              <w:jc w:val="center"/>
              <w:rPr>
                <w:rFonts w:ascii="Arial" w:eastAsia="Arial" w:hAnsi="Arial" w:cs="Arial"/>
                <w:i/>
                <w:spacing w:val="1"/>
              </w:rPr>
            </w:pPr>
            <w:r w:rsidRPr="006A4922">
              <w:rPr>
                <w:rFonts w:ascii="Arial" w:eastAsia="Arial" w:hAnsi="Arial" w:cs="Arial"/>
                <w:i/>
                <w:spacing w:val="1"/>
              </w:rPr>
              <w:t>Ley General de Instituciones y Procedimientos Electorales</w:t>
            </w:r>
          </w:p>
        </w:tc>
      </w:tr>
      <w:tr w:rsidR="006A4922" w:rsidRPr="006A4922" w:rsidTr="00C739FE">
        <w:tc>
          <w:tcPr>
            <w:tcW w:w="5000" w:type="pct"/>
            <w:shd w:val="clear" w:color="auto" w:fill="auto"/>
          </w:tcPr>
          <w:p w:rsidR="006A4922" w:rsidRPr="006A4922" w:rsidRDefault="006A4922" w:rsidP="00C739FE">
            <w:pPr>
              <w:autoSpaceDE w:val="0"/>
              <w:autoSpaceDN w:val="0"/>
              <w:adjustRightInd w:val="0"/>
              <w:jc w:val="both"/>
              <w:rPr>
                <w:rFonts w:ascii="Arial" w:eastAsia="Arial" w:hAnsi="Arial" w:cs="Arial"/>
                <w:spacing w:val="1"/>
              </w:rPr>
            </w:pPr>
            <w:r w:rsidRPr="006A4922">
              <w:rPr>
                <w:rFonts w:ascii="Arial" w:hAnsi="Arial" w:cs="Arial"/>
                <w:spacing w:val="-2"/>
              </w:rPr>
              <w:t>1, numerales 1 y 2; 30, numeral 1, inciso h); 159, numeral 2; 160, numerales 1 y 2; 162; 165, numeral 1; 184, numeral 1, inciso a).</w:t>
            </w:r>
          </w:p>
        </w:tc>
      </w:tr>
      <w:tr w:rsidR="006A4922" w:rsidRPr="006A4922" w:rsidTr="00C739FE">
        <w:tc>
          <w:tcPr>
            <w:tcW w:w="5000" w:type="pct"/>
            <w:shd w:val="clear" w:color="auto" w:fill="D9D9D9" w:themeFill="background1" w:themeFillShade="D9"/>
          </w:tcPr>
          <w:p w:rsidR="006A4922" w:rsidRPr="006A4922" w:rsidRDefault="006A4922" w:rsidP="00C739FE">
            <w:pPr>
              <w:autoSpaceDE w:val="0"/>
              <w:autoSpaceDN w:val="0"/>
              <w:adjustRightInd w:val="0"/>
              <w:jc w:val="center"/>
              <w:rPr>
                <w:rFonts w:ascii="Arial" w:eastAsia="Arial" w:hAnsi="Arial" w:cs="Arial"/>
                <w:i/>
                <w:spacing w:val="1"/>
              </w:rPr>
            </w:pPr>
            <w:r w:rsidRPr="006A4922">
              <w:rPr>
                <w:rFonts w:ascii="Arial" w:eastAsia="Arial" w:hAnsi="Arial" w:cs="Arial"/>
                <w:i/>
                <w:spacing w:val="1"/>
              </w:rPr>
              <w:t>Ley General de Partidos Políticos</w:t>
            </w:r>
          </w:p>
        </w:tc>
      </w:tr>
      <w:tr w:rsidR="006A4922" w:rsidRPr="006A4922" w:rsidTr="00C739FE">
        <w:tc>
          <w:tcPr>
            <w:tcW w:w="5000" w:type="pct"/>
          </w:tcPr>
          <w:p w:rsidR="006A4922" w:rsidRPr="006A4922" w:rsidRDefault="006A4922" w:rsidP="00C739FE">
            <w:pPr>
              <w:autoSpaceDE w:val="0"/>
              <w:autoSpaceDN w:val="0"/>
              <w:adjustRightInd w:val="0"/>
              <w:jc w:val="both"/>
              <w:rPr>
                <w:rFonts w:ascii="Arial" w:eastAsia="Arial" w:hAnsi="Arial" w:cs="Arial"/>
                <w:spacing w:val="1"/>
              </w:rPr>
            </w:pPr>
            <w:r w:rsidRPr="006A4922">
              <w:rPr>
                <w:rFonts w:ascii="Arial" w:hAnsi="Arial" w:cs="Arial"/>
                <w:spacing w:val="-2"/>
              </w:rPr>
              <w:t>23, numeral 1, inciso d); 26, numeral 1, inciso a) y 49;</w:t>
            </w:r>
          </w:p>
        </w:tc>
      </w:tr>
      <w:tr w:rsidR="006A4922" w:rsidRPr="006A4922" w:rsidTr="00C739FE">
        <w:tc>
          <w:tcPr>
            <w:tcW w:w="5000" w:type="pct"/>
            <w:shd w:val="clear" w:color="auto" w:fill="D9D9D9" w:themeFill="background1" w:themeFillShade="D9"/>
          </w:tcPr>
          <w:p w:rsidR="006A4922" w:rsidRPr="006A4922" w:rsidRDefault="006A4922" w:rsidP="00C739FE">
            <w:pPr>
              <w:autoSpaceDE w:val="0"/>
              <w:autoSpaceDN w:val="0"/>
              <w:adjustRightInd w:val="0"/>
              <w:jc w:val="center"/>
              <w:rPr>
                <w:rFonts w:ascii="Arial" w:eastAsia="Arial" w:hAnsi="Arial" w:cs="Arial"/>
                <w:i/>
                <w:spacing w:val="1"/>
              </w:rPr>
            </w:pPr>
            <w:r w:rsidRPr="006A4922">
              <w:rPr>
                <w:rFonts w:ascii="Arial" w:eastAsia="Arial" w:hAnsi="Arial" w:cs="Arial"/>
                <w:i/>
                <w:spacing w:val="1"/>
              </w:rPr>
              <w:t>Reglamento de Radio y Televisión en Materia Electoral</w:t>
            </w:r>
          </w:p>
        </w:tc>
      </w:tr>
      <w:tr w:rsidR="006A4922" w:rsidRPr="006A4922" w:rsidTr="00C739FE">
        <w:tc>
          <w:tcPr>
            <w:tcW w:w="5000" w:type="pct"/>
          </w:tcPr>
          <w:p w:rsidR="006A4922" w:rsidRPr="006A4922" w:rsidRDefault="006A4922" w:rsidP="00C739FE">
            <w:pPr>
              <w:autoSpaceDE w:val="0"/>
              <w:autoSpaceDN w:val="0"/>
              <w:adjustRightInd w:val="0"/>
              <w:jc w:val="both"/>
              <w:rPr>
                <w:rFonts w:ascii="Arial" w:eastAsia="Arial" w:hAnsi="Arial" w:cs="Arial"/>
                <w:spacing w:val="1"/>
              </w:rPr>
            </w:pPr>
            <w:r w:rsidRPr="006A4922">
              <w:rPr>
                <w:rFonts w:ascii="Arial" w:hAnsi="Arial" w:cs="Arial"/>
                <w:spacing w:val="-2"/>
              </w:rPr>
              <w:t xml:space="preserve">1, numeral 1; 4, numeral 2; 6, numeral 2, inciso b); 7, numeral 3; 23, numeral 3; 34, numeral 2; </w:t>
            </w:r>
            <w:r w:rsidRPr="006A4922">
              <w:rPr>
                <w:rFonts w:ascii="Arial" w:hAnsi="Arial" w:cs="Arial"/>
              </w:rPr>
              <w:t>36, numerales 1, inciso a) y 3.</w:t>
            </w:r>
          </w:p>
        </w:tc>
      </w:tr>
    </w:tbl>
    <w:p w:rsidR="006A4922" w:rsidRPr="006A4922" w:rsidRDefault="006A4922" w:rsidP="006A4922">
      <w:pPr>
        <w:contextualSpacing/>
        <w:rPr>
          <w:rFonts w:ascii="Arial" w:hAnsi="Arial" w:cs="Arial"/>
          <w:b/>
        </w:rPr>
      </w:pPr>
    </w:p>
    <w:p w:rsidR="006A4922" w:rsidRPr="006A4922" w:rsidRDefault="006A4922" w:rsidP="006A4922">
      <w:pPr>
        <w:spacing w:line="300" w:lineRule="exact"/>
        <w:ind w:right="173"/>
        <w:jc w:val="both"/>
        <w:rPr>
          <w:spacing w:val="3"/>
        </w:rPr>
      </w:pPr>
      <w:r w:rsidRPr="006A4922">
        <w:rPr>
          <w:rFonts w:ascii="Arial" w:eastAsia="Arial" w:hAnsi="Arial" w:cs="Arial"/>
          <w:spacing w:val="1"/>
        </w:rPr>
        <w:t>En razón de los antecedentes, considerandos y fundamentos señalados, el Comité de Radio y Televisión del Instituto Nacional Electoral emite el siguiente:</w:t>
      </w:r>
    </w:p>
    <w:p w:rsidR="006A4922" w:rsidRPr="006A4922" w:rsidRDefault="006A4922" w:rsidP="006A4922">
      <w:pPr>
        <w:ind w:left="360"/>
        <w:contextualSpacing/>
        <w:jc w:val="center"/>
        <w:rPr>
          <w:rFonts w:ascii="Arial" w:hAnsi="Arial" w:cs="Arial"/>
          <w:b/>
        </w:rPr>
      </w:pPr>
    </w:p>
    <w:p w:rsidR="006A4922" w:rsidRPr="006A4922" w:rsidRDefault="006A4922" w:rsidP="006A4922">
      <w:pPr>
        <w:ind w:left="360"/>
        <w:contextualSpacing/>
        <w:jc w:val="center"/>
        <w:rPr>
          <w:rFonts w:ascii="Arial" w:hAnsi="Arial" w:cs="Arial"/>
          <w:b/>
        </w:rPr>
      </w:pPr>
    </w:p>
    <w:p w:rsidR="006A4922" w:rsidRPr="006A4922" w:rsidRDefault="006A4922" w:rsidP="006A4922">
      <w:pPr>
        <w:ind w:left="360"/>
        <w:contextualSpacing/>
        <w:jc w:val="center"/>
        <w:rPr>
          <w:rFonts w:ascii="Arial" w:hAnsi="Arial" w:cs="Arial"/>
          <w:b/>
        </w:rPr>
      </w:pPr>
      <w:r w:rsidRPr="006A4922">
        <w:rPr>
          <w:rFonts w:ascii="Arial" w:hAnsi="Arial" w:cs="Arial"/>
          <w:b/>
        </w:rPr>
        <w:t>A c u e r d o</w:t>
      </w:r>
    </w:p>
    <w:p w:rsidR="006A4922" w:rsidRPr="006A4922" w:rsidRDefault="006A4922" w:rsidP="006A4922">
      <w:pPr>
        <w:contextualSpacing/>
        <w:jc w:val="both"/>
        <w:rPr>
          <w:rFonts w:ascii="Arial" w:hAnsi="Arial" w:cs="Arial"/>
        </w:rPr>
      </w:pPr>
    </w:p>
    <w:p w:rsidR="006A4922" w:rsidRPr="006A4922" w:rsidRDefault="006A4922" w:rsidP="006A4922">
      <w:pPr>
        <w:jc w:val="both"/>
        <w:rPr>
          <w:rFonts w:ascii="Arial" w:hAnsi="Arial" w:cs="Arial"/>
        </w:rPr>
      </w:pPr>
      <w:r w:rsidRPr="006A4922">
        <w:rPr>
          <w:rFonts w:ascii="Arial" w:hAnsi="Arial" w:cs="Arial"/>
          <w:b/>
        </w:rPr>
        <w:t>PRIMERO.</w:t>
      </w:r>
      <w:r w:rsidRPr="006A4922">
        <w:rPr>
          <w:rFonts w:ascii="Arial" w:hAnsi="Arial" w:cs="Arial"/>
        </w:rPr>
        <w:t xml:space="preserve"> En los términos previstos en los considerandos, se aprueba la modificación del Acuerdo INE/ACRT/31/2018, para incluir en los modelos de distribución y las pautas de transmisión de los mensajes correspondientes a los partidos políticos al partido Movimiento Dignidad Zacatecas, en el periodo comprendido del doce de febrero al veintinueve de marzo de dos mil dieciocho, mismas que se anexan y forman parte del presente Acuerdo.</w:t>
      </w:r>
    </w:p>
    <w:p w:rsidR="006A4922" w:rsidRPr="006A4922" w:rsidRDefault="006A4922" w:rsidP="006A4922">
      <w:pPr>
        <w:contextualSpacing/>
        <w:jc w:val="both"/>
        <w:rPr>
          <w:rFonts w:ascii="Arial" w:hAnsi="Arial" w:cs="Arial"/>
          <w:b/>
        </w:rPr>
      </w:pPr>
    </w:p>
    <w:p w:rsidR="006A4922" w:rsidRPr="006A4922" w:rsidRDefault="006A4922" w:rsidP="006A4922">
      <w:pPr>
        <w:jc w:val="both"/>
        <w:rPr>
          <w:rFonts w:ascii="Arial" w:hAnsi="Arial" w:cs="Arial"/>
          <w:b/>
        </w:rPr>
      </w:pPr>
      <w:r w:rsidRPr="006A4922">
        <w:rPr>
          <w:rFonts w:ascii="Arial" w:hAnsi="Arial" w:cs="Arial"/>
          <w:b/>
        </w:rPr>
        <w:lastRenderedPageBreak/>
        <w:t xml:space="preserve">SEGUNDO. </w:t>
      </w:r>
      <w:r w:rsidRPr="006A4922">
        <w:rPr>
          <w:rFonts w:ascii="Arial" w:hAnsi="Arial" w:cs="Arial"/>
        </w:rPr>
        <w:t>Se instruye a la Dirección Ejecutiva de Prerrogativas y Partidos Políticos para que notifique oportunamente las pautas correspondientes, así como el presente Acuerdo a los concesionarios de radio y televisión que tienen cobertura en el estado de Zacatecas.</w:t>
      </w:r>
    </w:p>
    <w:p w:rsidR="006A4922" w:rsidRPr="006A4922" w:rsidRDefault="006A4922" w:rsidP="006A4922">
      <w:pPr>
        <w:jc w:val="both"/>
        <w:rPr>
          <w:rFonts w:ascii="Arial" w:hAnsi="Arial" w:cs="Arial"/>
          <w:b/>
        </w:rPr>
      </w:pPr>
    </w:p>
    <w:p w:rsidR="006A4922" w:rsidRPr="006A4922" w:rsidRDefault="006A4922" w:rsidP="006A4922">
      <w:pPr>
        <w:jc w:val="both"/>
        <w:rPr>
          <w:rFonts w:ascii="Arial" w:hAnsi="Arial" w:cs="Arial"/>
        </w:rPr>
      </w:pPr>
      <w:r w:rsidRPr="006A4922">
        <w:rPr>
          <w:rFonts w:ascii="Arial" w:hAnsi="Arial" w:cs="Arial"/>
          <w:b/>
        </w:rPr>
        <w:t>TERCERO.</w:t>
      </w:r>
      <w:r w:rsidRPr="006A4922">
        <w:rPr>
          <w:rFonts w:ascii="Arial" w:hAnsi="Arial" w:cs="Arial"/>
        </w:rPr>
        <w:t xml:space="preserve"> </w:t>
      </w:r>
      <w:r w:rsidRPr="006A4922">
        <w:rPr>
          <w:rFonts w:ascii="Arial" w:hAnsi="Arial" w:cs="Arial"/>
          <w:spacing w:val="-2"/>
        </w:rPr>
        <w:t>Notifíquese el presente Acuerdo a los partidos políticos nacionales, al Vocal Ejecutivo de la Junta Local Ejecutiva del Instituto Nacional Electoral en el estado de Zacatecas, y por su conducto, al Organismo Público Local Electoral de dicha entidad, para que lo notifique al p</w:t>
      </w:r>
      <w:r w:rsidRPr="006A4922">
        <w:rPr>
          <w:rFonts w:ascii="Arial" w:hAnsi="Arial" w:cs="Arial"/>
        </w:rPr>
        <w:t>artido político Movimiento Dignidad Zacatecas.</w:t>
      </w:r>
    </w:p>
    <w:p w:rsidR="006A4922" w:rsidRPr="006A4922" w:rsidRDefault="006A4922" w:rsidP="006A4922">
      <w:pPr>
        <w:jc w:val="both"/>
        <w:rPr>
          <w:rFonts w:ascii="Arial" w:hAnsi="Arial" w:cs="Arial"/>
        </w:rPr>
      </w:pPr>
    </w:p>
    <w:p w:rsidR="006A4922" w:rsidRDefault="006A4922" w:rsidP="006A4922">
      <w:pPr>
        <w:jc w:val="both"/>
        <w:rPr>
          <w:rFonts w:ascii="Arial" w:hAnsi="Arial" w:cs="Arial"/>
        </w:rPr>
      </w:pPr>
      <w:r w:rsidRPr="006A4922">
        <w:rPr>
          <w:rFonts w:ascii="Arial" w:hAnsi="Arial" w:cs="Arial"/>
          <w:b/>
        </w:rPr>
        <w:t>CUARTO.</w:t>
      </w:r>
      <w:r w:rsidRPr="006A4922">
        <w:rPr>
          <w:rFonts w:ascii="Arial" w:hAnsi="Arial" w:cs="Arial"/>
        </w:rPr>
        <w:t xml:space="preserve"> 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655DC7" w:rsidRDefault="00655DC7" w:rsidP="006A4922">
      <w:pPr>
        <w:jc w:val="both"/>
        <w:rPr>
          <w:rFonts w:ascii="Arial" w:hAnsi="Arial" w:cs="Arial"/>
        </w:rPr>
      </w:pPr>
    </w:p>
    <w:p w:rsidR="00655DC7" w:rsidRPr="00655DC7" w:rsidRDefault="00655DC7" w:rsidP="00655DC7">
      <w:pPr>
        <w:jc w:val="both"/>
        <w:rPr>
          <w:rFonts w:ascii="Arial" w:eastAsiaTheme="minorHAnsi" w:hAnsi="Arial" w:cstheme="minorBidi"/>
          <w:szCs w:val="22"/>
          <w:lang w:val="es-MX" w:eastAsia="en-US"/>
        </w:rPr>
      </w:pPr>
      <w:r w:rsidRPr="00655DC7">
        <w:rPr>
          <w:rFonts w:ascii="Arial" w:eastAsiaTheme="minorHAnsi" w:hAnsi="Arial" w:cstheme="minorBidi"/>
          <w:szCs w:val="22"/>
          <w:lang w:val="es-MX" w:eastAsia="en-US"/>
        </w:rPr>
        <w:t xml:space="preserve">El presente Acuerdo fue aprobado en la </w:t>
      </w:r>
      <w:r>
        <w:rPr>
          <w:rFonts w:ascii="Arial" w:eastAsiaTheme="minorHAnsi" w:hAnsi="Arial" w:cstheme="minorBidi"/>
          <w:szCs w:val="22"/>
          <w:lang w:val="es-MX" w:eastAsia="en-US"/>
        </w:rPr>
        <w:t>Cuarta</w:t>
      </w:r>
      <w:r w:rsidRPr="00655DC7">
        <w:rPr>
          <w:rFonts w:ascii="Arial" w:eastAsiaTheme="minorHAnsi" w:hAnsi="Arial" w:cstheme="minorBidi"/>
          <w:szCs w:val="22"/>
          <w:lang w:val="es-MX" w:eastAsia="en-US"/>
        </w:rPr>
        <w:t xml:space="preserve"> Sesión </w:t>
      </w:r>
      <w:r>
        <w:rPr>
          <w:rFonts w:ascii="Arial" w:eastAsiaTheme="minorHAnsi" w:hAnsi="Arial" w:cstheme="minorBidi"/>
          <w:szCs w:val="22"/>
          <w:lang w:val="es-MX" w:eastAsia="en-US"/>
        </w:rPr>
        <w:t xml:space="preserve">Especial </w:t>
      </w:r>
      <w:r w:rsidRPr="00655DC7">
        <w:rPr>
          <w:rFonts w:ascii="Arial" w:eastAsiaTheme="minorHAnsi" w:hAnsi="Arial" w:cstheme="minorBidi"/>
          <w:szCs w:val="22"/>
          <w:lang w:val="es-MX" w:eastAsia="en-US"/>
        </w:rPr>
        <w:t xml:space="preserve">del Comité de Radio y Televisión, celebrada el </w:t>
      </w:r>
      <w:r>
        <w:rPr>
          <w:rFonts w:ascii="Arial" w:eastAsiaTheme="minorHAnsi" w:hAnsi="Arial" w:cstheme="minorBidi"/>
          <w:szCs w:val="22"/>
          <w:lang w:val="es-MX" w:eastAsia="en-US"/>
        </w:rPr>
        <w:t>primero de febrero</w:t>
      </w:r>
      <w:r w:rsidRPr="00655DC7">
        <w:rPr>
          <w:rFonts w:ascii="Arial" w:eastAsiaTheme="minorHAnsi" w:hAnsi="Arial" w:cstheme="minorBidi"/>
          <w:szCs w:val="22"/>
          <w:lang w:val="es-MX" w:eastAsia="en-US"/>
        </w:rPr>
        <w:t xml:space="preserve"> de dos mil dieciocho, por la votación unánime del Presidente del Comité, Consejero Electoral Doctor Benito </w:t>
      </w:r>
      <w:proofErr w:type="spellStart"/>
      <w:r w:rsidRPr="00655DC7">
        <w:rPr>
          <w:rFonts w:ascii="Arial" w:eastAsiaTheme="minorHAnsi" w:hAnsi="Arial" w:cstheme="minorBidi"/>
          <w:szCs w:val="22"/>
          <w:lang w:val="es-MX" w:eastAsia="en-US"/>
        </w:rPr>
        <w:t>Nacif</w:t>
      </w:r>
      <w:proofErr w:type="spellEnd"/>
      <w:r w:rsidRPr="00655DC7">
        <w:rPr>
          <w:rFonts w:ascii="Arial" w:eastAsiaTheme="minorHAnsi" w:hAnsi="Arial" w:cstheme="minorBidi"/>
          <w:szCs w:val="22"/>
          <w:lang w:val="es-MX" w:eastAsia="en-US"/>
        </w:rPr>
        <w:t xml:space="preserve"> Hernández, y de las Consejeras Electorales integrantes del mismo, Doctora Adriana Margarita Favela Herrera y Maestra Beatriz Claudia Zavala Pérez; el voto a favor de la</w:t>
      </w:r>
      <w:r w:rsidR="00A46C8C">
        <w:rPr>
          <w:rFonts w:ascii="Arial" w:eastAsiaTheme="minorHAnsi" w:hAnsi="Arial" w:cstheme="minorBidi"/>
          <w:szCs w:val="22"/>
          <w:lang w:val="es-MX" w:eastAsia="en-US"/>
        </w:rPr>
        <w:t xml:space="preserve"> Representante del Partido Revolucionario Institucional; y</w:t>
      </w:r>
      <w:bookmarkStart w:id="0" w:name="_GoBack"/>
      <w:bookmarkEnd w:id="0"/>
      <w:r w:rsidR="00A46C8C">
        <w:rPr>
          <w:rFonts w:ascii="Arial" w:eastAsiaTheme="minorHAnsi" w:hAnsi="Arial" w:cstheme="minorBidi"/>
          <w:szCs w:val="22"/>
          <w:lang w:val="es-MX" w:eastAsia="en-US"/>
        </w:rPr>
        <w:t xml:space="preserve"> sin el consenso de</w:t>
      </w:r>
      <w:r w:rsidRPr="00655DC7">
        <w:rPr>
          <w:rFonts w:ascii="Arial" w:eastAsiaTheme="minorHAnsi" w:hAnsi="Arial" w:cstheme="minorBidi"/>
          <w:szCs w:val="22"/>
          <w:lang w:val="es-MX" w:eastAsia="en-US"/>
        </w:rPr>
        <w:t xml:space="preserve"> los representantes de los partidos Acción Nacional, de la Revolución Democrática, </w:t>
      </w:r>
      <w:r w:rsidR="00A46C8C">
        <w:rPr>
          <w:rFonts w:ascii="Arial" w:eastAsiaTheme="minorHAnsi" w:hAnsi="Arial" w:cstheme="minorBidi"/>
          <w:szCs w:val="22"/>
          <w:lang w:val="es-MX" w:eastAsia="en-US"/>
        </w:rPr>
        <w:t>del Trabajo, Movimiento Ciudadano</w:t>
      </w:r>
      <w:r w:rsidRPr="00655DC7">
        <w:rPr>
          <w:rFonts w:ascii="Arial" w:eastAsiaTheme="minorHAnsi" w:hAnsi="Arial" w:cstheme="minorBidi"/>
          <w:szCs w:val="22"/>
          <w:lang w:val="es-MX" w:eastAsia="en-US"/>
        </w:rPr>
        <w:t xml:space="preserve"> y Encuentro Social, todas y todos ellos presentes en la sesión.</w:t>
      </w:r>
    </w:p>
    <w:p w:rsidR="001A2CD4" w:rsidRPr="001A2CD4" w:rsidRDefault="001A2CD4" w:rsidP="001A2CD4">
      <w:pPr>
        <w:spacing w:line="276" w:lineRule="auto"/>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1A2CD4" w:rsidRPr="001A2CD4" w:rsidTr="006070C5">
        <w:trPr>
          <w:jc w:val="center"/>
        </w:trPr>
        <w:tc>
          <w:tcPr>
            <w:tcW w:w="2405" w:type="pct"/>
          </w:tcPr>
          <w:p w:rsidR="001A2CD4" w:rsidRPr="001A2CD4" w:rsidRDefault="001A2CD4" w:rsidP="001A2CD4">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1A2CD4">
              <w:rPr>
                <w:rFonts w:ascii="Arial" w:eastAsia="Calibri" w:hAnsi="Arial" w:cs="Arial"/>
                <w:b/>
                <w:lang w:val="es-ES_tradnl" w:eastAsia="ja-JP"/>
              </w:rPr>
              <w:t>EL PRESIDENTE</w:t>
            </w:r>
          </w:p>
          <w:p w:rsidR="001A2CD4" w:rsidRPr="001A2CD4" w:rsidRDefault="001A2CD4" w:rsidP="001A2CD4">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1A2CD4">
              <w:rPr>
                <w:rFonts w:ascii="Arial" w:eastAsia="Calibri" w:hAnsi="Arial" w:cs="Arial"/>
                <w:b/>
                <w:lang w:val="es-ES_tradnl" w:eastAsia="ja-JP"/>
              </w:rPr>
              <w:t>DEL COMITÉ DE RADIO Y TELEVISIÓN</w:t>
            </w:r>
          </w:p>
          <w:p w:rsidR="001A2CD4" w:rsidRPr="001A2CD4" w:rsidRDefault="001A2CD4" w:rsidP="001A2CD4">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1A2CD4" w:rsidRPr="001A2CD4" w:rsidRDefault="001A2CD4" w:rsidP="001A2CD4">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1A2CD4" w:rsidRPr="001A2CD4" w:rsidRDefault="001A2CD4" w:rsidP="001A2CD4">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1A2CD4" w:rsidRPr="001A2CD4" w:rsidRDefault="001A2CD4" w:rsidP="001A2CD4">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1A2CD4" w:rsidRPr="001A2CD4" w:rsidRDefault="001A2CD4" w:rsidP="001A2CD4">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1A2CD4" w:rsidRPr="001A2CD4" w:rsidRDefault="001A2CD4" w:rsidP="001A2CD4">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1A2CD4">
              <w:rPr>
                <w:rFonts w:ascii="Arial" w:eastAsia="Calibri" w:hAnsi="Arial" w:cs="Arial"/>
                <w:b/>
                <w:spacing w:val="-4"/>
                <w:lang w:val="es-ES_tradnl" w:eastAsia="ja-JP"/>
              </w:rPr>
              <w:t xml:space="preserve">DR. BENITO </w:t>
            </w:r>
            <w:proofErr w:type="spellStart"/>
            <w:r w:rsidRPr="001A2CD4">
              <w:rPr>
                <w:rFonts w:ascii="Arial" w:eastAsia="Calibri" w:hAnsi="Arial" w:cs="Arial"/>
                <w:b/>
                <w:spacing w:val="-4"/>
                <w:lang w:val="es-ES_tradnl" w:eastAsia="ja-JP"/>
              </w:rPr>
              <w:t>NACIF</w:t>
            </w:r>
            <w:proofErr w:type="spellEnd"/>
            <w:r w:rsidRPr="001A2CD4">
              <w:rPr>
                <w:rFonts w:ascii="Arial" w:eastAsia="Calibri" w:hAnsi="Arial" w:cs="Arial"/>
                <w:b/>
                <w:spacing w:val="-4"/>
                <w:lang w:val="es-ES_tradnl" w:eastAsia="ja-JP"/>
              </w:rPr>
              <w:t xml:space="preserve"> HERNÁNDEZ</w:t>
            </w:r>
          </w:p>
        </w:tc>
        <w:tc>
          <w:tcPr>
            <w:tcW w:w="2595" w:type="pct"/>
            <w:vAlign w:val="center"/>
          </w:tcPr>
          <w:p w:rsidR="001A2CD4" w:rsidRPr="001A2CD4" w:rsidRDefault="001A2CD4" w:rsidP="001A2CD4">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1A2CD4">
              <w:rPr>
                <w:rFonts w:ascii="Arial" w:eastAsia="Calibri" w:hAnsi="Arial" w:cs="Arial"/>
                <w:b/>
                <w:lang w:val="es-ES_tradnl" w:eastAsia="ja-JP"/>
              </w:rPr>
              <w:t>EL SECRETARIO TÉCNICO</w:t>
            </w:r>
          </w:p>
          <w:p w:rsidR="001A2CD4" w:rsidRPr="001A2CD4" w:rsidRDefault="001A2CD4" w:rsidP="001A2CD4">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1A2CD4">
              <w:rPr>
                <w:rFonts w:ascii="Arial" w:eastAsia="Calibri" w:hAnsi="Arial" w:cs="Arial"/>
                <w:b/>
                <w:lang w:val="es-ES_tradnl" w:eastAsia="ja-JP"/>
              </w:rPr>
              <w:t>DEL COMITÉ DE RADIO Y TELEVISIÓN</w:t>
            </w:r>
          </w:p>
          <w:p w:rsidR="001A2CD4" w:rsidRPr="001A2CD4" w:rsidRDefault="001A2CD4" w:rsidP="001A2CD4">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1A2CD4" w:rsidRPr="001A2CD4" w:rsidRDefault="001A2CD4" w:rsidP="001A2CD4">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1A2CD4" w:rsidRPr="001A2CD4" w:rsidRDefault="001A2CD4" w:rsidP="001A2CD4">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1A2CD4" w:rsidRPr="001A2CD4" w:rsidRDefault="001A2CD4" w:rsidP="001A2CD4">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1A2CD4" w:rsidRPr="001A2CD4" w:rsidRDefault="001A2CD4" w:rsidP="001A2CD4">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1A2CD4" w:rsidRPr="001A2CD4" w:rsidRDefault="001A2CD4" w:rsidP="001A2CD4">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1A2CD4">
              <w:rPr>
                <w:rFonts w:ascii="Arial" w:eastAsia="Calibri" w:hAnsi="Arial" w:cs="Arial"/>
                <w:b/>
                <w:spacing w:val="-4"/>
                <w:lang w:val="es-ES_tradnl" w:eastAsia="ja-JP"/>
              </w:rPr>
              <w:t>MTRO. PATRICIO BALLADOS VILLAGÓMEZ</w:t>
            </w:r>
          </w:p>
        </w:tc>
      </w:tr>
    </w:tbl>
    <w:p w:rsidR="001A2CD4" w:rsidRPr="002A4DEF" w:rsidRDefault="001A2CD4" w:rsidP="00655DC7">
      <w:pPr>
        <w:jc w:val="both"/>
        <w:rPr>
          <w:rFonts w:ascii="Arial" w:hAnsi="Arial" w:cs="Arial"/>
        </w:rPr>
      </w:pPr>
    </w:p>
    <w:sectPr w:rsidR="001A2CD4" w:rsidRPr="002A4DEF" w:rsidSect="003A173B">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7864" w:rsidRDefault="00477864">
      <w:r>
        <w:separator/>
      </w:r>
    </w:p>
  </w:endnote>
  <w:endnote w:type="continuationSeparator" w:id="0">
    <w:p w:rsidR="00477864" w:rsidRDefault="004778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75941563"/>
      <w:docPartObj>
        <w:docPartGallery w:val="Page Numbers (Bottom of Page)"/>
        <w:docPartUnique/>
      </w:docPartObj>
    </w:sdtPr>
    <w:sdtEndPr>
      <w:rPr>
        <w:rFonts w:ascii="Arial" w:hAnsi="Arial" w:cs="Arial"/>
        <w:sz w:val="20"/>
        <w:szCs w:val="20"/>
      </w:rPr>
    </w:sdtEndPr>
    <w:sdtContent>
      <w:p w:rsidR="00EC0E11" w:rsidRPr="003A173B" w:rsidRDefault="006A4922">
        <w:pPr>
          <w:pStyle w:val="Piedepgina"/>
          <w:jc w:val="right"/>
          <w:rPr>
            <w:rFonts w:ascii="Arial" w:hAnsi="Arial" w:cs="Arial"/>
            <w:sz w:val="20"/>
            <w:szCs w:val="20"/>
          </w:rPr>
        </w:pPr>
        <w:r w:rsidRPr="003A173B">
          <w:rPr>
            <w:rFonts w:ascii="Arial" w:hAnsi="Arial" w:cs="Arial"/>
            <w:sz w:val="20"/>
            <w:szCs w:val="20"/>
          </w:rPr>
          <w:fldChar w:fldCharType="begin"/>
        </w:r>
        <w:r w:rsidRPr="003A173B">
          <w:rPr>
            <w:rFonts w:ascii="Arial" w:hAnsi="Arial" w:cs="Arial"/>
            <w:sz w:val="20"/>
            <w:szCs w:val="20"/>
          </w:rPr>
          <w:instrText>PAGE   \* MERGEFORMAT</w:instrText>
        </w:r>
        <w:r w:rsidRPr="003A173B">
          <w:rPr>
            <w:rFonts w:ascii="Arial" w:hAnsi="Arial" w:cs="Arial"/>
            <w:sz w:val="20"/>
            <w:szCs w:val="20"/>
          </w:rPr>
          <w:fldChar w:fldCharType="separate"/>
        </w:r>
        <w:r w:rsidR="00E6443D">
          <w:rPr>
            <w:rFonts w:ascii="Arial" w:hAnsi="Arial" w:cs="Arial"/>
            <w:noProof/>
            <w:sz w:val="20"/>
            <w:szCs w:val="20"/>
          </w:rPr>
          <w:t>8</w:t>
        </w:r>
        <w:r w:rsidRPr="003A173B">
          <w:rPr>
            <w:rFonts w:ascii="Arial" w:hAnsi="Arial" w:cs="Arial"/>
            <w:sz w:val="20"/>
            <w:szCs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7864" w:rsidRDefault="00477864">
      <w:r>
        <w:separator/>
      </w:r>
    </w:p>
  </w:footnote>
  <w:footnote w:type="continuationSeparator" w:id="0">
    <w:p w:rsidR="00477864" w:rsidRDefault="004778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73B" w:rsidRDefault="003A173B" w:rsidP="003A173B">
    <w:pPr>
      <w:pStyle w:val="Encabezado"/>
      <w:jc w:val="right"/>
      <w:rPr>
        <w:rFonts w:ascii="Arial" w:hAnsi="Arial" w:cs="Arial"/>
        <w:b/>
      </w:rPr>
    </w:pPr>
  </w:p>
  <w:p w:rsidR="003A173B" w:rsidRDefault="003A173B" w:rsidP="003A173B">
    <w:pPr>
      <w:pStyle w:val="Encabezado"/>
      <w:jc w:val="right"/>
      <w:rPr>
        <w:rFonts w:ascii="Arial" w:hAnsi="Arial" w:cs="Arial"/>
        <w:b/>
      </w:rPr>
    </w:pPr>
  </w:p>
  <w:p w:rsidR="003A173B" w:rsidRDefault="003A173B" w:rsidP="003A173B">
    <w:pPr>
      <w:pStyle w:val="Encabezado"/>
      <w:jc w:val="right"/>
      <w:rPr>
        <w:rFonts w:ascii="Arial" w:hAnsi="Arial" w:cs="Arial"/>
        <w:b/>
      </w:rPr>
    </w:pPr>
  </w:p>
  <w:p w:rsidR="003A173B" w:rsidRDefault="003A173B" w:rsidP="003A173B">
    <w:pPr>
      <w:pStyle w:val="Encabezado"/>
      <w:jc w:val="right"/>
      <w:rPr>
        <w:rFonts w:ascii="Arial" w:hAnsi="Arial" w:cs="Arial"/>
        <w:b/>
      </w:rPr>
    </w:pPr>
  </w:p>
  <w:p w:rsidR="003A173B" w:rsidRPr="003A173B" w:rsidRDefault="003A173B" w:rsidP="003A173B">
    <w:pPr>
      <w:pStyle w:val="Encabezado"/>
      <w:jc w:val="right"/>
      <w:rPr>
        <w:rFonts w:ascii="Arial" w:hAnsi="Arial" w:cs="Arial"/>
        <w:b/>
      </w:rPr>
    </w:pPr>
    <w:r w:rsidRPr="003A173B">
      <w:rPr>
        <w:rFonts w:ascii="Arial" w:hAnsi="Arial" w:cs="Arial"/>
        <w:b/>
      </w:rPr>
      <w:t>INE/</w:t>
    </w:r>
    <w:proofErr w:type="spellStart"/>
    <w:r w:rsidRPr="003A173B">
      <w:rPr>
        <w:rFonts w:ascii="Arial" w:hAnsi="Arial" w:cs="Arial"/>
        <w:b/>
      </w:rPr>
      <w:t>ACRT</w:t>
    </w:r>
    <w:proofErr w:type="spellEnd"/>
    <w:r w:rsidRPr="003A173B">
      <w:rPr>
        <w:rFonts w:ascii="Arial" w:hAnsi="Arial" w:cs="Arial"/>
        <w:b/>
      </w:rPr>
      <w:t>/41/2018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73B" w:rsidRDefault="003A173B" w:rsidP="003A173B">
    <w:pPr>
      <w:pStyle w:val="Encabezado"/>
      <w:jc w:val="right"/>
      <w:rPr>
        <w:rFonts w:ascii="Arial" w:hAnsi="Arial" w:cs="Arial"/>
        <w:b/>
      </w:rPr>
    </w:pPr>
  </w:p>
  <w:p w:rsidR="003A173B" w:rsidRDefault="003A173B" w:rsidP="003A173B">
    <w:pPr>
      <w:pStyle w:val="Encabezado"/>
      <w:jc w:val="right"/>
      <w:rPr>
        <w:rFonts w:ascii="Arial" w:hAnsi="Arial" w:cs="Arial"/>
        <w:b/>
      </w:rPr>
    </w:pPr>
  </w:p>
  <w:p w:rsidR="003A173B" w:rsidRDefault="003A173B" w:rsidP="003A173B">
    <w:pPr>
      <w:pStyle w:val="Encabezado"/>
      <w:jc w:val="right"/>
      <w:rPr>
        <w:rFonts w:ascii="Arial" w:hAnsi="Arial" w:cs="Arial"/>
        <w:b/>
      </w:rPr>
    </w:pPr>
  </w:p>
  <w:p w:rsidR="003A173B" w:rsidRPr="003A173B" w:rsidRDefault="003A173B" w:rsidP="003A173B">
    <w:pPr>
      <w:pStyle w:val="Encabezado"/>
      <w:jc w:val="right"/>
      <w:rPr>
        <w:rFonts w:ascii="Arial" w:hAnsi="Arial" w:cs="Arial"/>
        <w:b/>
      </w:rPr>
    </w:pPr>
    <w:r w:rsidRPr="003A173B">
      <w:rPr>
        <w:rFonts w:ascii="Arial" w:hAnsi="Arial" w:cs="Arial"/>
        <w:b/>
      </w:rPr>
      <w:t>INE/</w:t>
    </w:r>
    <w:proofErr w:type="spellStart"/>
    <w:r w:rsidRPr="003A173B">
      <w:rPr>
        <w:rFonts w:ascii="Arial" w:hAnsi="Arial" w:cs="Arial"/>
        <w:b/>
      </w:rPr>
      <w:t>ACRT</w:t>
    </w:r>
    <w:proofErr w:type="spellEnd"/>
    <w:r w:rsidRPr="003A173B">
      <w:rPr>
        <w:rFonts w:ascii="Arial" w:hAnsi="Arial" w:cs="Arial"/>
        <w:b/>
      </w:rPr>
      <w:t>/41/2018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834C76C0"/>
    <w:lvl w:ilvl="0" w:tplc="7158D32C">
      <w:start w:val="1"/>
      <w:numFmt w:val="decimal"/>
      <w:lvlText w:val="%1."/>
      <w:lvlJc w:val="left"/>
      <w:pPr>
        <w:tabs>
          <w:tab w:val="num" w:pos="11341"/>
        </w:tabs>
        <w:ind w:left="5387"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342281C4">
      <w:start w:val="1"/>
      <w:numFmt w:val="lowerLetter"/>
      <w:lvlText w:val="%5)"/>
      <w:lvlJc w:val="left"/>
      <w:pPr>
        <w:ind w:left="8136" w:hanging="360"/>
      </w:pPr>
      <w:rPr>
        <w:rFonts w:hint="default"/>
      </w:r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922"/>
    <w:rsid w:val="001A2CD4"/>
    <w:rsid w:val="002347F0"/>
    <w:rsid w:val="003A173B"/>
    <w:rsid w:val="00477864"/>
    <w:rsid w:val="00655DC7"/>
    <w:rsid w:val="006A4922"/>
    <w:rsid w:val="00A42256"/>
    <w:rsid w:val="00A46C8C"/>
    <w:rsid w:val="00B0303E"/>
    <w:rsid w:val="00C2694B"/>
    <w:rsid w:val="00E6443D"/>
    <w:rsid w:val="00EB1BD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8F8591-25A6-4197-BE43-7D1919AFC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492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6A4922"/>
    <w:pPr>
      <w:ind w:left="720"/>
      <w:contextualSpacing/>
    </w:pPr>
  </w:style>
  <w:style w:type="character" w:customStyle="1" w:styleId="PrrafodelistaCar">
    <w:name w:val="Párrafo de lista Car"/>
    <w:aliases w:val="CNBV Parrafo1 Car,Párrafo de lista1 Car"/>
    <w:basedOn w:val="Fuentedeprrafopredeter"/>
    <w:link w:val="Prrafodelista"/>
    <w:uiPriority w:val="34"/>
    <w:rsid w:val="006A4922"/>
    <w:rPr>
      <w:rFonts w:ascii="Times New Roman" w:eastAsia="Times New Roman" w:hAnsi="Times New Roman" w:cs="Times New Roman"/>
      <w:sz w:val="24"/>
      <w:szCs w:val="24"/>
      <w:lang w:val="es-ES" w:eastAsia="es-ES"/>
    </w:rPr>
  </w:style>
  <w:style w:type="table" w:styleId="Tablaconcuadrcula">
    <w:name w:val="Table Grid"/>
    <w:basedOn w:val="Tablanormal"/>
    <w:uiPriority w:val="59"/>
    <w:rsid w:val="006A492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4922"/>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6A4922"/>
    <w:rPr>
      <w:rFonts w:eastAsiaTheme="minorHAnsi"/>
      <w:lang w:val="es-MX" w:eastAsia="es-MX"/>
    </w:rPr>
  </w:style>
  <w:style w:type="paragraph" w:styleId="Piedepgina">
    <w:name w:val="footer"/>
    <w:basedOn w:val="Normal"/>
    <w:link w:val="PiedepginaCar"/>
    <w:uiPriority w:val="99"/>
    <w:unhideWhenUsed/>
    <w:rsid w:val="006A4922"/>
    <w:pPr>
      <w:tabs>
        <w:tab w:val="center" w:pos="4419"/>
        <w:tab w:val="right" w:pos="8838"/>
      </w:tabs>
    </w:pPr>
  </w:style>
  <w:style w:type="character" w:customStyle="1" w:styleId="PiedepginaCar">
    <w:name w:val="Pie de página Car"/>
    <w:basedOn w:val="Fuentedeprrafopredeter"/>
    <w:link w:val="Piedepgina"/>
    <w:uiPriority w:val="99"/>
    <w:rsid w:val="006A4922"/>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3A173B"/>
    <w:pPr>
      <w:tabs>
        <w:tab w:val="center" w:pos="4419"/>
        <w:tab w:val="right" w:pos="8838"/>
      </w:tabs>
    </w:pPr>
  </w:style>
  <w:style w:type="character" w:customStyle="1" w:styleId="EncabezadoCar">
    <w:name w:val="Encabezado Car"/>
    <w:basedOn w:val="Fuentedeprrafopredeter"/>
    <w:link w:val="Encabezado"/>
    <w:uiPriority w:val="99"/>
    <w:rsid w:val="003A173B"/>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9</Pages>
  <Words>2975</Words>
  <Characters>16366</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19303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2018-01-31T23:37:00Z</dcterms:created>
  <dcterms:modified xsi:type="dcterms:W3CDTF">2018-02-01T18:10:00Z</dcterms:modified>
</cp:coreProperties>
</file>