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3E04" w:rsidRDefault="001F3E04" w:rsidP="001F3E04">
      <w:pPr>
        <w:spacing w:after="0" w:line="300" w:lineRule="exact"/>
        <w:ind w:left="-992" w:firstLine="1"/>
        <w:jc w:val="both"/>
        <w:rPr>
          <w:rFonts w:ascii="Arial" w:eastAsia="Times New Roman" w:hAnsi="Arial" w:cs="Arial"/>
          <w:b/>
          <w:bCs/>
          <w:sz w:val="28"/>
          <w:szCs w:val="24"/>
          <w:lang w:eastAsia="es-ES"/>
        </w:rPr>
      </w:pPr>
      <w:r>
        <w:rPr>
          <w:rFonts w:ascii="Arial" w:eastAsia="Times New Roman" w:hAnsi="Arial" w:cs="Arial"/>
          <w:b/>
          <w:bCs/>
          <w:sz w:val="28"/>
          <w:szCs w:val="24"/>
          <w:lang w:eastAsia="es-ES"/>
        </w:rPr>
        <w:t>INE/JGE</w:t>
      </w:r>
      <w:r w:rsidR="00B22390">
        <w:rPr>
          <w:rFonts w:ascii="Arial" w:eastAsia="Times New Roman" w:hAnsi="Arial" w:cs="Arial"/>
          <w:b/>
          <w:bCs/>
          <w:sz w:val="28"/>
          <w:szCs w:val="24"/>
          <w:lang w:eastAsia="es-ES"/>
        </w:rPr>
        <w:t>143</w:t>
      </w:r>
      <w:r>
        <w:rPr>
          <w:rFonts w:ascii="Arial" w:eastAsia="Times New Roman" w:hAnsi="Arial" w:cs="Arial"/>
          <w:b/>
          <w:bCs/>
          <w:sz w:val="28"/>
          <w:szCs w:val="24"/>
          <w:lang w:eastAsia="es-ES"/>
        </w:rPr>
        <w:t>/2019</w:t>
      </w:r>
    </w:p>
    <w:p w:rsidR="001F3E04" w:rsidRPr="001F3E04" w:rsidRDefault="001F3E04" w:rsidP="001F3E04">
      <w:pPr>
        <w:spacing w:after="0" w:line="300" w:lineRule="exact"/>
        <w:jc w:val="both"/>
        <w:rPr>
          <w:rFonts w:ascii="Arial" w:eastAsia="Times New Roman" w:hAnsi="Arial" w:cs="Arial"/>
          <w:b/>
          <w:bCs/>
          <w:sz w:val="24"/>
          <w:szCs w:val="24"/>
          <w:lang w:eastAsia="es-ES"/>
        </w:rPr>
      </w:pPr>
    </w:p>
    <w:p w:rsidR="001F3E04" w:rsidRDefault="001F3E04" w:rsidP="001F3E04">
      <w:pPr>
        <w:spacing w:after="0" w:line="300" w:lineRule="exact"/>
        <w:ind w:firstLine="1"/>
        <w:jc w:val="both"/>
        <w:rPr>
          <w:rFonts w:ascii="Arial" w:eastAsia="Times New Roman" w:hAnsi="Arial" w:cs="Arial"/>
          <w:b/>
          <w:bCs/>
          <w:sz w:val="24"/>
          <w:szCs w:val="24"/>
          <w:lang w:eastAsia="es-ES"/>
        </w:rPr>
      </w:pPr>
    </w:p>
    <w:p w:rsidR="00B919A2" w:rsidRPr="0093584F" w:rsidRDefault="00B919A2" w:rsidP="001F3E04">
      <w:pPr>
        <w:spacing w:after="0" w:line="300" w:lineRule="exact"/>
        <w:ind w:firstLine="1"/>
        <w:jc w:val="both"/>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 xml:space="preserve">ACUERDO DE LA JUNTA GENERAL EJECUTIVA DEL INSTITUTO NACIONAL ELECTORAL POR EL QUE SE DESIGNA A LA </w:t>
      </w:r>
      <w:r>
        <w:rPr>
          <w:rFonts w:ascii="Arial" w:eastAsia="Times New Roman" w:hAnsi="Arial" w:cs="Arial"/>
          <w:b/>
          <w:bCs/>
          <w:sz w:val="24"/>
          <w:szCs w:val="24"/>
          <w:lang w:eastAsia="es-ES"/>
        </w:rPr>
        <w:t xml:space="preserve">DIRECCIÓN EJECUTIVA DEL REGISTRO FEDERAL DE ELECTORES </w:t>
      </w:r>
      <w:r w:rsidRPr="0093584F">
        <w:rPr>
          <w:rFonts w:ascii="Arial" w:eastAsia="Times New Roman" w:hAnsi="Arial" w:cs="Arial"/>
          <w:b/>
          <w:bCs/>
          <w:sz w:val="24"/>
          <w:szCs w:val="24"/>
          <w:lang w:eastAsia="es-ES"/>
        </w:rPr>
        <w:t xml:space="preserve">COMO EL ÓRGANO ENCARGADO DE SUSTANCIAR Y ELABORAR EL PROYECTO DE RESOLUCIÓN DEL RECURSO DE INCONFORMIDAD </w:t>
      </w:r>
      <w:r w:rsidR="00A4209B" w:rsidRPr="00A4209B">
        <w:rPr>
          <w:rFonts w:ascii="Arial" w:eastAsia="Times New Roman" w:hAnsi="Arial" w:cs="Arial"/>
          <w:b/>
          <w:bCs/>
          <w:sz w:val="24"/>
          <w:szCs w:val="24"/>
          <w:lang w:eastAsia="es-ES"/>
        </w:rPr>
        <w:t>INE/RI/SPEN/16/2019</w:t>
      </w:r>
    </w:p>
    <w:p w:rsidR="00B919A2" w:rsidRPr="0093584F" w:rsidRDefault="00B919A2" w:rsidP="001F3E04">
      <w:pPr>
        <w:spacing w:after="0" w:line="300" w:lineRule="exact"/>
        <w:jc w:val="both"/>
        <w:rPr>
          <w:rFonts w:ascii="Arial" w:eastAsia="Times New Roman" w:hAnsi="Arial" w:cs="Arial"/>
          <w:b/>
          <w:bCs/>
          <w:sz w:val="24"/>
          <w:szCs w:val="24"/>
          <w:lang w:eastAsia="es-ES"/>
        </w:rPr>
      </w:pPr>
    </w:p>
    <w:p w:rsidR="001F3E04" w:rsidRDefault="001F3E04" w:rsidP="001F3E04">
      <w:pPr>
        <w:spacing w:after="0" w:line="300" w:lineRule="exact"/>
        <w:rPr>
          <w:rFonts w:ascii="Arial" w:eastAsia="Times New Roman" w:hAnsi="Arial" w:cs="Arial"/>
          <w:b/>
          <w:bCs/>
          <w:sz w:val="24"/>
          <w:szCs w:val="24"/>
          <w:lang w:eastAsia="es-ES"/>
        </w:rPr>
      </w:pPr>
    </w:p>
    <w:p w:rsidR="00B919A2" w:rsidRPr="0093584F" w:rsidRDefault="00B919A2" w:rsidP="001F3E04">
      <w:pPr>
        <w:spacing w:after="0" w:line="300"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A N T E C E D E N T E S</w:t>
      </w:r>
    </w:p>
    <w:p w:rsidR="00B919A2" w:rsidRPr="0093584F" w:rsidRDefault="00B919A2" w:rsidP="001F3E04">
      <w:pPr>
        <w:spacing w:after="0" w:line="300" w:lineRule="exact"/>
        <w:jc w:val="both"/>
        <w:rPr>
          <w:rFonts w:ascii="Arial" w:eastAsia="Calibri" w:hAnsi="Arial" w:cs="Arial"/>
          <w:sz w:val="24"/>
          <w:szCs w:val="24"/>
          <w:lang w:val="es-ES" w:eastAsia="es-ES"/>
        </w:rPr>
      </w:pPr>
    </w:p>
    <w:p w:rsidR="00B919A2" w:rsidRPr="0096144C" w:rsidRDefault="00B919A2" w:rsidP="001F3E04">
      <w:pPr>
        <w:spacing w:after="0" w:line="300" w:lineRule="exact"/>
        <w:jc w:val="both"/>
        <w:rPr>
          <w:rFonts w:ascii="Arial" w:eastAsia="Calibri" w:hAnsi="Arial" w:cs="Arial"/>
          <w:sz w:val="24"/>
          <w:szCs w:val="24"/>
          <w:lang w:val="es-ES" w:eastAsia="es-ES"/>
        </w:rPr>
      </w:pPr>
    </w:p>
    <w:p w:rsidR="00C26DBA" w:rsidRDefault="00C26DBA" w:rsidP="001F3E04">
      <w:pPr>
        <w:numPr>
          <w:ilvl w:val="0"/>
          <w:numId w:val="2"/>
        </w:numPr>
        <w:tabs>
          <w:tab w:val="clear" w:pos="357"/>
        </w:tabs>
        <w:spacing w:after="0" w:line="30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 xml:space="preserve">En resolución de 20 de junio de 2019, dictada por la Junta General Ejecutiva del Instituto en el INE/R.I./04/2019, se revocó </w:t>
      </w:r>
      <w:r w:rsidR="00915296">
        <w:rPr>
          <w:rFonts w:ascii="Arial" w:eastAsia="Calibri" w:hAnsi="Arial" w:cs="Arial"/>
          <w:sz w:val="24"/>
          <w:szCs w:val="24"/>
          <w:lang w:val="es-ES" w:eastAsia="es-ES"/>
        </w:rPr>
        <w:t>el auto de desechamiento emitido por el Director Ejecutivo de Administración en el INE/DEA/D/DRMS/008/2019.</w:t>
      </w:r>
    </w:p>
    <w:p w:rsidR="00915296" w:rsidRDefault="00915296" w:rsidP="001F3E04">
      <w:pPr>
        <w:spacing w:after="0" w:line="300" w:lineRule="exact"/>
        <w:ind w:left="567" w:hanging="567"/>
        <w:jc w:val="both"/>
        <w:rPr>
          <w:rFonts w:ascii="Arial" w:eastAsia="Calibri" w:hAnsi="Arial" w:cs="Arial"/>
          <w:sz w:val="24"/>
          <w:szCs w:val="24"/>
          <w:lang w:val="es-ES" w:eastAsia="es-ES"/>
        </w:rPr>
      </w:pPr>
    </w:p>
    <w:p w:rsidR="00915296" w:rsidRDefault="00915296" w:rsidP="001F3E04">
      <w:pPr>
        <w:numPr>
          <w:ilvl w:val="0"/>
          <w:numId w:val="2"/>
        </w:numPr>
        <w:tabs>
          <w:tab w:val="clear" w:pos="357"/>
        </w:tabs>
        <w:spacing w:after="0" w:line="300" w:lineRule="exact"/>
        <w:ind w:left="567" w:hanging="567"/>
        <w:jc w:val="both"/>
        <w:rPr>
          <w:rFonts w:ascii="Arial" w:eastAsia="Calibri" w:hAnsi="Arial" w:cs="Arial"/>
          <w:sz w:val="24"/>
          <w:szCs w:val="24"/>
          <w:lang w:val="es-ES" w:eastAsia="es-ES"/>
        </w:rPr>
      </w:pPr>
      <w:r w:rsidRPr="0096144C">
        <w:rPr>
          <w:rFonts w:ascii="Arial" w:eastAsia="Calibri" w:hAnsi="Arial" w:cs="Arial"/>
          <w:sz w:val="24"/>
          <w:szCs w:val="24"/>
          <w:lang w:val="es-ES" w:eastAsia="es-ES"/>
        </w:rPr>
        <w:t xml:space="preserve">El </w:t>
      </w:r>
      <w:r>
        <w:rPr>
          <w:rFonts w:ascii="Arial" w:eastAsia="Calibri" w:hAnsi="Arial" w:cs="Arial"/>
          <w:sz w:val="24"/>
          <w:szCs w:val="24"/>
          <w:lang w:val="es-ES" w:eastAsia="es-ES"/>
        </w:rPr>
        <w:t>28</w:t>
      </w:r>
      <w:r w:rsidRPr="0096144C">
        <w:rPr>
          <w:rFonts w:ascii="Arial" w:eastAsia="Calibri" w:hAnsi="Arial" w:cs="Arial"/>
          <w:sz w:val="24"/>
          <w:szCs w:val="24"/>
          <w:lang w:val="es-ES" w:eastAsia="es-ES"/>
        </w:rPr>
        <w:t xml:space="preserve"> de junio de 2019, </w:t>
      </w:r>
      <w:r>
        <w:rPr>
          <w:rFonts w:ascii="Arial" w:eastAsia="Calibri" w:hAnsi="Arial" w:cs="Arial"/>
          <w:sz w:val="24"/>
          <w:szCs w:val="24"/>
          <w:lang w:val="es-ES" w:eastAsia="es-ES"/>
        </w:rPr>
        <w:t xml:space="preserve">en cumplimiento a lo resuelto por esta Junta, </w:t>
      </w:r>
      <w:r w:rsidRPr="0096144C">
        <w:rPr>
          <w:rFonts w:ascii="Arial" w:eastAsia="Calibri" w:hAnsi="Arial" w:cs="Arial"/>
          <w:sz w:val="24"/>
          <w:szCs w:val="24"/>
          <w:lang w:val="es-ES" w:eastAsia="es-ES"/>
        </w:rPr>
        <w:t>la Dirección Ejecutiva de</w:t>
      </w:r>
      <w:r>
        <w:rPr>
          <w:rFonts w:ascii="Arial" w:eastAsia="Calibri" w:hAnsi="Arial" w:cs="Arial"/>
          <w:sz w:val="24"/>
          <w:szCs w:val="24"/>
          <w:lang w:val="es-ES" w:eastAsia="es-ES"/>
        </w:rPr>
        <w:t xml:space="preserve"> Administración</w:t>
      </w:r>
      <w:r w:rsidRPr="0096144C">
        <w:rPr>
          <w:rFonts w:ascii="Arial" w:eastAsia="Calibri" w:hAnsi="Arial" w:cs="Arial"/>
          <w:sz w:val="24"/>
          <w:szCs w:val="24"/>
          <w:lang w:val="es-ES" w:eastAsia="es-ES"/>
        </w:rPr>
        <w:t xml:space="preserve">, </w:t>
      </w:r>
      <w:r>
        <w:rPr>
          <w:rFonts w:ascii="Arial" w:eastAsia="Calibri" w:hAnsi="Arial" w:cs="Arial"/>
          <w:sz w:val="24"/>
          <w:szCs w:val="24"/>
          <w:lang w:val="es-ES" w:eastAsia="es-ES"/>
        </w:rPr>
        <w:t xml:space="preserve">emitió diverso auto de </w:t>
      </w:r>
      <w:r w:rsidRPr="0096144C">
        <w:rPr>
          <w:rFonts w:ascii="Arial" w:eastAsia="Calibri" w:hAnsi="Arial" w:cs="Arial"/>
          <w:sz w:val="24"/>
          <w:szCs w:val="24"/>
          <w:lang w:val="es-ES" w:eastAsia="es-ES"/>
        </w:rPr>
        <w:t xml:space="preserve">desechamiento </w:t>
      </w:r>
      <w:r>
        <w:rPr>
          <w:rFonts w:ascii="Arial" w:eastAsia="Calibri" w:hAnsi="Arial" w:cs="Arial"/>
          <w:sz w:val="24"/>
          <w:szCs w:val="24"/>
          <w:lang w:val="es-ES" w:eastAsia="es-ES"/>
        </w:rPr>
        <w:t xml:space="preserve">en el expediente INE/DEA/D/DRMS/036/2019. </w:t>
      </w:r>
    </w:p>
    <w:p w:rsidR="00C17BEC" w:rsidRDefault="00C17BEC" w:rsidP="001F3E04">
      <w:pPr>
        <w:spacing w:after="0" w:line="300" w:lineRule="exact"/>
        <w:ind w:left="567" w:hanging="567"/>
        <w:jc w:val="both"/>
        <w:rPr>
          <w:rFonts w:ascii="Arial" w:eastAsia="Calibri" w:hAnsi="Arial" w:cs="Arial"/>
          <w:sz w:val="24"/>
          <w:szCs w:val="24"/>
          <w:lang w:val="es-ES" w:eastAsia="es-ES"/>
        </w:rPr>
      </w:pPr>
    </w:p>
    <w:p w:rsidR="00A861ED" w:rsidRDefault="00A861ED" w:rsidP="001F3E04">
      <w:pPr>
        <w:numPr>
          <w:ilvl w:val="0"/>
          <w:numId w:val="2"/>
        </w:numPr>
        <w:tabs>
          <w:tab w:val="clear" w:pos="357"/>
        </w:tabs>
        <w:spacing w:after="0" w:line="300" w:lineRule="exact"/>
        <w:ind w:left="567" w:hanging="567"/>
        <w:jc w:val="both"/>
        <w:rPr>
          <w:rFonts w:ascii="Arial" w:eastAsia="Calibri" w:hAnsi="Arial" w:cs="Arial"/>
          <w:sz w:val="24"/>
          <w:szCs w:val="24"/>
          <w:lang w:val="es-ES" w:eastAsia="es-ES"/>
        </w:rPr>
      </w:pPr>
      <w:r w:rsidRPr="00A861ED">
        <w:rPr>
          <w:rFonts w:ascii="Arial" w:eastAsia="Calibri" w:hAnsi="Arial" w:cs="Arial"/>
          <w:sz w:val="24"/>
          <w:szCs w:val="24"/>
          <w:lang w:val="es-ES" w:eastAsia="es-ES"/>
        </w:rPr>
        <w:t>Disconforme con la determinación anterior, el 1</w:t>
      </w:r>
      <w:r>
        <w:rPr>
          <w:rFonts w:ascii="Arial" w:eastAsia="Calibri" w:hAnsi="Arial" w:cs="Arial"/>
          <w:sz w:val="24"/>
          <w:szCs w:val="24"/>
          <w:lang w:val="es-ES" w:eastAsia="es-ES"/>
        </w:rPr>
        <w:t>5</w:t>
      </w:r>
      <w:r w:rsidRPr="00A861ED">
        <w:rPr>
          <w:rFonts w:ascii="Arial" w:eastAsia="Calibri" w:hAnsi="Arial" w:cs="Arial"/>
          <w:sz w:val="24"/>
          <w:szCs w:val="24"/>
          <w:lang w:val="es-ES" w:eastAsia="es-ES"/>
        </w:rPr>
        <w:t xml:space="preserve"> de ju</w:t>
      </w:r>
      <w:r>
        <w:rPr>
          <w:rFonts w:ascii="Arial" w:eastAsia="Calibri" w:hAnsi="Arial" w:cs="Arial"/>
          <w:sz w:val="24"/>
          <w:szCs w:val="24"/>
          <w:lang w:val="es-ES" w:eastAsia="es-ES"/>
        </w:rPr>
        <w:t>l</w:t>
      </w:r>
      <w:r w:rsidRPr="00A861ED">
        <w:rPr>
          <w:rFonts w:ascii="Arial" w:eastAsia="Calibri" w:hAnsi="Arial" w:cs="Arial"/>
          <w:sz w:val="24"/>
          <w:szCs w:val="24"/>
          <w:lang w:val="es-ES" w:eastAsia="es-ES"/>
        </w:rPr>
        <w:t>io de 2019,</w:t>
      </w:r>
      <w:r>
        <w:rPr>
          <w:rFonts w:ascii="Arial" w:eastAsia="Calibri" w:hAnsi="Arial" w:cs="Arial"/>
          <w:sz w:val="24"/>
          <w:szCs w:val="24"/>
          <w:lang w:val="es-ES" w:eastAsia="es-ES"/>
        </w:rPr>
        <w:t xml:space="preserve"> </w:t>
      </w:r>
      <w:r w:rsidR="00DD0288">
        <w:rPr>
          <w:rFonts w:ascii="Arial" w:eastAsia="Calibri" w:hAnsi="Arial" w:cs="Arial"/>
          <w:sz w:val="24"/>
          <w:szCs w:val="24"/>
          <w:highlight w:val="black"/>
          <w:lang w:val="es-ES" w:eastAsia="es-ES"/>
        </w:rPr>
        <w:t>Luis Arturo Carrillo Velasco</w:t>
      </w:r>
      <w:r w:rsidR="00DD0288">
        <w:rPr>
          <w:rFonts w:ascii="Arial" w:eastAsia="Calibri" w:hAnsi="Arial" w:cs="Arial"/>
          <w:sz w:val="24"/>
          <w:szCs w:val="24"/>
          <w:lang w:val="es-ES" w:eastAsia="es-ES"/>
        </w:rPr>
        <w:t xml:space="preserve"> </w:t>
      </w:r>
      <w:r>
        <w:rPr>
          <w:rFonts w:ascii="Arial" w:eastAsia="Calibri" w:hAnsi="Arial" w:cs="Arial"/>
          <w:sz w:val="24"/>
          <w:szCs w:val="24"/>
          <w:lang w:val="es-ES" w:eastAsia="es-ES"/>
        </w:rPr>
        <w:t>interpuso juicio para dirimir los conflictos o diferencias laborales entre el INE y sus servidores, ante la Sala Superior del Tribunal Electoral del Poder Judicial de la Federación.</w:t>
      </w:r>
    </w:p>
    <w:p w:rsidR="00A861ED" w:rsidRDefault="00A861ED" w:rsidP="001F3E04">
      <w:pPr>
        <w:spacing w:after="0" w:line="300" w:lineRule="exact"/>
        <w:ind w:left="567" w:hanging="567"/>
        <w:jc w:val="both"/>
        <w:rPr>
          <w:rFonts w:ascii="Arial" w:eastAsia="Calibri" w:hAnsi="Arial" w:cs="Arial"/>
          <w:sz w:val="24"/>
          <w:szCs w:val="24"/>
          <w:lang w:val="es-ES" w:eastAsia="es-ES"/>
        </w:rPr>
      </w:pPr>
    </w:p>
    <w:p w:rsidR="00851F9B" w:rsidRDefault="00851F9B" w:rsidP="001F3E04">
      <w:pPr>
        <w:numPr>
          <w:ilvl w:val="0"/>
          <w:numId w:val="2"/>
        </w:numPr>
        <w:tabs>
          <w:tab w:val="clear" w:pos="357"/>
        </w:tabs>
        <w:spacing w:after="0" w:line="30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Por auto dictado el 23 de julio de 2019</w:t>
      </w:r>
      <w:r w:rsidRPr="00851F9B">
        <w:rPr>
          <w:rFonts w:ascii="Arial" w:eastAsia="Calibri" w:hAnsi="Arial" w:cs="Arial"/>
          <w:sz w:val="24"/>
          <w:szCs w:val="24"/>
          <w:lang w:val="es-ES" w:eastAsia="es-ES"/>
        </w:rPr>
        <w:t xml:space="preserve"> </w:t>
      </w:r>
      <w:r>
        <w:rPr>
          <w:rFonts w:ascii="Arial" w:eastAsia="Calibri" w:hAnsi="Arial" w:cs="Arial"/>
          <w:sz w:val="24"/>
          <w:szCs w:val="24"/>
          <w:lang w:val="es-ES" w:eastAsia="es-ES"/>
        </w:rPr>
        <w:t xml:space="preserve">en el SUP-JLI-24/2019, la Sala Superior del Tribunal Electoral del Poder Judicial de la Federación reencauzó la demanda interpuesta por </w:t>
      </w:r>
      <w:r w:rsidR="00DD0288">
        <w:rPr>
          <w:rFonts w:ascii="Arial" w:eastAsia="Calibri" w:hAnsi="Arial" w:cs="Arial"/>
          <w:sz w:val="24"/>
          <w:szCs w:val="24"/>
          <w:highlight w:val="black"/>
          <w:lang w:val="es-ES" w:eastAsia="es-ES"/>
        </w:rPr>
        <w:t>Luis Arturo Carrillo Velasco</w:t>
      </w:r>
      <w:r w:rsidR="00DD0288">
        <w:rPr>
          <w:rFonts w:ascii="Arial" w:eastAsia="Calibri" w:hAnsi="Arial" w:cs="Arial"/>
          <w:sz w:val="24"/>
          <w:szCs w:val="24"/>
          <w:lang w:val="es-ES" w:eastAsia="es-ES"/>
        </w:rPr>
        <w:t xml:space="preserve"> </w:t>
      </w:r>
      <w:r>
        <w:rPr>
          <w:rFonts w:ascii="Arial" w:eastAsia="Calibri" w:hAnsi="Arial" w:cs="Arial"/>
          <w:sz w:val="24"/>
          <w:szCs w:val="24"/>
          <w:lang w:val="es-ES" w:eastAsia="es-ES"/>
        </w:rPr>
        <w:t>a recurso de inconformidad y remitió las constancias atinentes a esta Junta para su resolución.</w:t>
      </w:r>
    </w:p>
    <w:p w:rsidR="00851F9B" w:rsidRDefault="00851F9B" w:rsidP="001F3E04">
      <w:pPr>
        <w:spacing w:after="0" w:line="300" w:lineRule="exact"/>
        <w:ind w:left="567" w:hanging="567"/>
        <w:jc w:val="both"/>
        <w:rPr>
          <w:rFonts w:ascii="Arial" w:eastAsia="Calibri" w:hAnsi="Arial" w:cs="Arial"/>
          <w:sz w:val="24"/>
          <w:szCs w:val="24"/>
          <w:lang w:val="es-ES" w:eastAsia="es-ES"/>
        </w:rPr>
      </w:pPr>
    </w:p>
    <w:p w:rsidR="00B919A2" w:rsidRPr="00526FB3" w:rsidRDefault="00851F9B" w:rsidP="001F3E04">
      <w:pPr>
        <w:numPr>
          <w:ilvl w:val="0"/>
          <w:numId w:val="2"/>
        </w:numPr>
        <w:tabs>
          <w:tab w:val="clear" w:pos="357"/>
        </w:tabs>
        <w:spacing w:after="0" w:line="30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E</w:t>
      </w:r>
      <w:r w:rsidR="0065561E">
        <w:rPr>
          <w:rFonts w:ascii="Arial" w:eastAsia="Calibri" w:hAnsi="Arial" w:cs="Arial"/>
          <w:sz w:val="24"/>
          <w:szCs w:val="24"/>
          <w:lang w:val="es-ES" w:eastAsia="es-ES"/>
        </w:rPr>
        <w:t xml:space="preserve">l 24 de julio de 2019 se recibió en la oficialía de partes común del Instituto el medio de impugnación referido, recibiéndolo </w:t>
      </w:r>
      <w:r w:rsidRPr="00935C4C">
        <w:rPr>
          <w:rFonts w:ascii="Arial" w:eastAsia="Calibri" w:hAnsi="Arial" w:cs="Arial"/>
          <w:sz w:val="24"/>
          <w:szCs w:val="24"/>
          <w:lang w:val="es-ES" w:eastAsia="es-ES"/>
        </w:rPr>
        <w:t>en la Dirección Jurídica</w:t>
      </w:r>
      <w:r w:rsidR="0065561E">
        <w:rPr>
          <w:rFonts w:ascii="Arial" w:eastAsia="Calibri" w:hAnsi="Arial" w:cs="Arial"/>
          <w:sz w:val="24"/>
          <w:szCs w:val="24"/>
          <w:lang w:val="es-ES" w:eastAsia="es-ES"/>
        </w:rPr>
        <w:t xml:space="preserve"> al día siguiente</w:t>
      </w:r>
      <w:r w:rsidRPr="00935C4C">
        <w:rPr>
          <w:rFonts w:ascii="Arial" w:eastAsia="Calibri" w:hAnsi="Arial" w:cs="Arial"/>
          <w:sz w:val="24"/>
          <w:szCs w:val="24"/>
          <w:lang w:val="es-ES" w:eastAsia="es-ES"/>
        </w:rPr>
        <w:t xml:space="preserve">. </w:t>
      </w:r>
    </w:p>
    <w:p w:rsidR="00DE6061" w:rsidRDefault="00DE6061" w:rsidP="001F3E04">
      <w:pPr>
        <w:spacing w:after="0" w:line="300" w:lineRule="exact"/>
        <w:rPr>
          <w:rFonts w:ascii="Arial" w:eastAsia="Times New Roman" w:hAnsi="Arial" w:cs="Arial"/>
          <w:b/>
          <w:bCs/>
          <w:sz w:val="24"/>
          <w:szCs w:val="24"/>
          <w:lang w:eastAsia="es-ES"/>
        </w:rPr>
      </w:pPr>
    </w:p>
    <w:p w:rsidR="001F3E04" w:rsidRDefault="001F3E04" w:rsidP="001F3E04">
      <w:pPr>
        <w:spacing w:after="0" w:line="300" w:lineRule="exact"/>
        <w:rPr>
          <w:rFonts w:ascii="Arial" w:eastAsia="Times New Roman" w:hAnsi="Arial" w:cs="Arial"/>
          <w:b/>
          <w:bCs/>
          <w:sz w:val="24"/>
          <w:szCs w:val="24"/>
          <w:lang w:eastAsia="es-ES"/>
        </w:rPr>
      </w:pPr>
    </w:p>
    <w:p w:rsidR="00B919A2" w:rsidRPr="0093584F" w:rsidRDefault="00B919A2" w:rsidP="001F3E04">
      <w:pPr>
        <w:spacing w:after="0" w:line="300"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C O N S I D E R A N D O</w:t>
      </w:r>
    </w:p>
    <w:p w:rsidR="00B919A2" w:rsidRDefault="00B919A2" w:rsidP="001F3E04">
      <w:pPr>
        <w:spacing w:after="0" w:line="300" w:lineRule="exact"/>
        <w:jc w:val="both"/>
        <w:rPr>
          <w:rFonts w:ascii="Arial" w:eastAsia="Calibri" w:hAnsi="Arial" w:cs="Arial"/>
          <w:sz w:val="24"/>
          <w:szCs w:val="24"/>
          <w:lang w:eastAsia="es-ES"/>
        </w:rPr>
      </w:pPr>
    </w:p>
    <w:p w:rsidR="001F3E04" w:rsidRPr="0093584F" w:rsidRDefault="001F3E04" w:rsidP="001F3E04">
      <w:pPr>
        <w:spacing w:after="0" w:line="300" w:lineRule="exact"/>
        <w:jc w:val="both"/>
        <w:rPr>
          <w:rFonts w:ascii="Arial" w:eastAsia="Calibri" w:hAnsi="Arial" w:cs="Arial"/>
          <w:sz w:val="24"/>
          <w:szCs w:val="24"/>
          <w:lang w:eastAsia="es-ES"/>
        </w:rPr>
      </w:pPr>
    </w:p>
    <w:p w:rsidR="00DE6061" w:rsidRPr="00935C4C" w:rsidRDefault="00DE6061" w:rsidP="001F3E04">
      <w:pPr>
        <w:numPr>
          <w:ilvl w:val="0"/>
          <w:numId w:val="1"/>
        </w:numPr>
        <w:tabs>
          <w:tab w:val="clear" w:pos="360"/>
        </w:tabs>
        <w:spacing w:after="0" w:line="30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L</w:t>
      </w:r>
      <w:r w:rsidRPr="00935C4C">
        <w:rPr>
          <w:rFonts w:ascii="Arial" w:eastAsia="Calibri" w:hAnsi="Arial" w:cs="Arial"/>
          <w:sz w:val="24"/>
          <w:szCs w:val="24"/>
          <w:lang w:val="es-ES" w:eastAsia="es-ES"/>
        </w:rPr>
        <w:t xml:space="preserve">os artículos 41, </w:t>
      </w:r>
      <w:r w:rsidR="001F3E04">
        <w:rPr>
          <w:rFonts w:ascii="Arial" w:eastAsia="Calibri" w:hAnsi="Arial" w:cs="Arial"/>
          <w:sz w:val="24"/>
          <w:szCs w:val="24"/>
          <w:lang w:val="es-ES" w:eastAsia="es-ES"/>
        </w:rPr>
        <w:t>Base V</w:t>
      </w:r>
      <w:r w:rsidRPr="00935C4C">
        <w:rPr>
          <w:rFonts w:ascii="Arial" w:eastAsia="Calibri" w:hAnsi="Arial" w:cs="Arial"/>
          <w:sz w:val="24"/>
          <w:szCs w:val="24"/>
          <w:lang w:val="es-ES" w:eastAsia="es-ES"/>
        </w:rPr>
        <w:t>, Apartado A, párrafos primero y segundo, de la Constitución Política de los Estados Unidos Mexicanos (Constitución); 29, párrafo 1, de la Ley General de Instituciones y Procedimientos Electorales (LGIPE),</w:t>
      </w:r>
      <w:r>
        <w:rPr>
          <w:rFonts w:ascii="Arial" w:eastAsia="Calibri" w:hAnsi="Arial" w:cs="Arial"/>
          <w:sz w:val="24"/>
          <w:szCs w:val="24"/>
          <w:lang w:val="es-ES" w:eastAsia="es-ES"/>
        </w:rPr>
        <w:t xml:space="preserve"> dispone que </w:t>
      </w:r>
      <w:r w:rsidRPr="00935C4C">
        <w:rPr>
          <w:rFonts w:ascii="Arial" w:eastAsia="Calibri" w:hAnsi="Arial" w:cs="Arial"/>
          <w:sz w:val="24"/>
          <w:szCs w:val="24"/>
          <w:lang w:val="es-ES" w:eastAsia="es-ES"/>
        </w:rPr>
        <w:t>el Instituto Nacional Electoral es autoridad en la materia, independiente en sus decisiones y funcionamiento y profesional en su desempeño y que cuenta en su estructura con órganos de dirección, ejecutivos, técnicos y de vigilancia.</w:t>
      </w:r>
    </w:p>
    <w:p w:rsidR="00DE6061" w:rsidRPr="00935C4C" w:rsidRDefault="00DE6061" w:rsidP="001F3E04">
      <w:pPr>
        <w:spacing w:after="0" w:line="300" w:lineRule="exact"/>
        <w:ind w:left="567" w:hanging="567"/>
        <w:rPr>
          <w:rFonts w:ascii="Arial" w:eastAsia="Calibri" w:hAnsi="Arial" w:cs="Arial"/>
          <w:sz w:val="24"/>
          <w:szCs w:val="24"/>
          <w:lang w:val="es-ES" w:eastAsia="es-ES"/>
        </w:rPr>
      </w:pPr>
    </w:p>
    <w:p w:rsidR="00DE6061" w:rsidRPr="00935C4C" w:rsidRDefault="00DE6061" w:rsidP="001F3E04">
      <w:pPr>
        <w:numPr>
          <w:ilvl w:val="0"/>
          <w:numId w:val="1"/>
        </w:numPr>
        <w:tabs>
          <w:tab w:val="clear" w:pos="360"/>
        </w:tabs>
        <w:spacing w:after="0" w:line="300" w:lineRule="exact"/>
        <w:ind w:left="567" w:hanging="567"/>
        <w:jc w:val="both"/>
        <w:rPr>
          <w:rFonts w:ascii="Arial" w:eastAsia="Calibri" w:hAnsi="Arial" w:cs="Arial"/>
          <w:sz w:val="24"/>
          <w:szCs w:val="24"/>
          <w:lang w:val="es-ES" w:eastAsia="es-ES"/>
        </w:rPr>
      </w:pPr>
      <w:r w:rsidRPr="00935C4C">
        <w:rPr>
          <w:rFonts w:ascii="Arial" w:eastAsia="Calibri" w:hAnsi="Arial" w:cs="Arial"/>
          <w:sz w:val="24"/>
          <w:szCs w:val="24"/>
          <w:lang w:val="es-ES" w:eastAsia="es-ES"/>
        </w:rPr>
        <w:t>Conforme los artículos 453 y 463 del Estatuto del Servicio Profesional Electoral Nacional y del Personal de la Rama Administrativa (Estatuto), la Junta General Ejecutiva (Junta) es el órgano administrativo que le compete resolver el recurso de inconformidad que se interponga para controvertir la resolución recaída en los procedimientos laborales disciplinarios.</w:t>
      </w:r>
    </w:p>
    <w:p w:rsidR="00DE6061" w:rsidRPr="00935C4C" w:rsidRDefault="00DE6061" w:rsidP="001F3E04">
      <w:pPr>
        <w:spacing w:after="0" w:line="300" w:lineRule="exact"/>
        <w:ind w:left="567" w:hanging="567"/>
        <w:jc w:val="both"/>
        <w:rPr>
          <w:rFonts w:ascii="Arial" w:eastAsia="Calibri" w:hAnsi="Arial" w:cs="Arial"/>
          <w:sz w:val="24"/>
          <w:szCs w:val="24"/>
          <w:lang w:val="es-ES" w:eastAsia="es-ES"/>
        </w:rPr>
      </w:pPr>
    </w:p>
    <w:p w:rsidR="00DE6061" w:rsidRPr="00935C4C" w:rsidRDefault="00DE6061" w:rsidP="001F3E04">
      <w:pPr>
        <w:numPr>
          <w:ilvl w:val="0"/>
          <w:numId w:val="1"/>
        </w:numPr>
        <w:tabs>
          <w:tab w:val="clear" w:pos="360"/>
        </w:tabs>
        <w:spacing w:after="0" w:line="30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En atención</w:t>
      </w:r>
      <w:r w:rsidRPr="00935C4C">
        <w:rPr>
          <w:rFonts w:ascii="Arial" w:eastAsia="Calibri" w:hAnsi="Arial" w:cs="Arial"/>
          <w:sz w:val="24"/>
          <w:szCs w:val="24"/>
          <w:lang w:val="es-ES" w:eastAsia="es-ES"/>
        </w:rPr>
        <w:t xml:space="preserve"> </w:t>
      </w:r>
      <w:r>
        <w:rPr>
          <w:rFonts w:ascii="Arial" w:eastAsia="Calibri" w:hAnsi="Arial" w:cs="Arial"/>
          <w:sz w:val="24"/>
          <w:szCs w:val="24"/>
          <w:lang w:val="es-ES" w:eastAsia="es-ES"/>
        </w:rPr>
        <w:t>al</w:t>
      </w:r>
      <w:r w:rsidRPr="00935C4C">
        <w:rPr>
          <w:rFonts w:ascii="Arial" w:eastAsia="Calibri" w:hAnsi="Arial" w:cs="Arial"/>
          <w:sz w:val="24"/>
          <w:szCs w:val="24"/>
          <w:lang w:val="es-ES" w:eastAsia="es-ES"/>
        </w:rPr>
        <w:t xml:space="preserve"> artículo 47, párrafo 1, de la LGIPE, la Junta</w:t>
      </w:r>
      <w:r>
        <w:rPr>
          <w:rFonts w:ascii="Arial" w:eastAsia="Calibri" w:hAnsi="Arial" w:cs="Arial"/>
          <w:sz w:val="24"/>
          <w:szCs w:val="24"/>
          <w:lang w:val="es-ES" w:eastAsia="es-ES"/>
        </w:rPr>
        <w:t xml:space="preserve"> se integra</w:t>
      </w:r>
      <w:r w:rsidRPr="00935C4C">
        <w:rPr>
          <w:rFonts w:ascii="Arial" w:eastAsia="Calibri" w:hAnsi="Arial" w:cs="Arial"/>
          <w:sz w:val="24"/>
          <w:szCs w:val="24"/>
          <w:lang w:val="es-ES" w:eastAsia="es-ES"/>
        </w:rPr>
        <w:t xml:space="preserve"> por el Presidente del Consejo</w:t>
      </w:r>
      <w:r>
        <w:rPr>
          <w:rFonts w:ascii="Arial" w:eastAsia="Calibri" w:hAnsi="Arial" w:cs="Arial"/>
          <w:sz w:val="24"/>
          <w:szCs w:val="24"/>
          <w:lang w:val="es-ES" w:eastAsia="es-ES"/>
        </w:rPr>
        <w:t xml:space="preserve"> quien lo preside y</w:t>
      </w:r>
      <w:r w:rsidRPr="00935C4C">
        <w:rPr>
          <w:rFonts w:ascii="Arial" w:eastAsia="Calibri" w:hAnsi="Arial" w:cs="Arial"/>
          <w:sz w:val="24"/>
          <w:szCs w:val="24"/>
          <w:lang w:val="es-ES" w:eastAsia="es-ES"/>
        </w:rPr>
        <w:t xml:space="preserve"> con el Secretario Ejecutivo</w:t>
      </w:r>
      <w:r>
        <w:rPr>
          <w:rFonts w:ascii="Arial" w:eastAsia="Calibri" w:hAnsi="Arial" w:cs="Arial"/>
          <w:sz w:val="24"/>
          <w:szCs w:val="24"/>
          <w:lang w:val="es-ES" w:eastAsia="es-ES"/>
        </w:rPr>
        <w:t>,</w:t>
      </w:r>
      <w:r w:rsidRPr="00935C4C">
        <w:rPr>
          <w:rFonts w:ascii="Arial" w:eastAsia="Calibri" w:hAnsi="Arial" w:cs="Arial"/>
          <w:sz w:val="24"/>
          <w:szCs w:val="24"/>
          <w:lang w:val="es-ES" w:eastAsia="es-ES"/>
        </w:rPr>
        <w:t xml:space="preserve"> los Directores Ejecutivos del Registro Federal de Electores, de Prerrogativas y Partidos Políticos, de Organización Electoral, del Servicio Profesional Electoral Nacional, de Capacitación Electoral y Educación Cívica, de Administración, así como con el </w:t>
      </w:r>
      <w:r>
        <w:rPr>
          <w:rFonts w:ascii="Arial" w:eastAsia="Calibri" w:hAnsi="Arial" w:cs="Arial"/>
          <w:sz w:val="24"/>
          <w:szCs w:val="24"/>
          <w:lang w:val="es-ES" w:eastAsia="es-ES"/>
        </w:rPr>
        <w:t xml:space="preserve">Titular </w:t>
      </w:r>
      <w:r w:rsidRPr="00935C4C">
        <w:rPr>
          <w:rFonts w:ascii="Arial" w:eastAsia="Calibri" w:hAnsi="Arial" w:cs="Arial"/>
          <w:sz w:val="24"/>
          <w:szCs w:val="24"/>
          <w:lang w:val="es-ES" w:eastAsia="es-ES"/>
        </w:rPr>
        <w:t xml:space="preserve">de la Unidad Técnica de Vinculación con los Organismos Públicos Locales y </w:t>
      </w:r>
      <w:r>
        <w:rPr>
          <w:rFonts w:ascii="Arial" w:eastAsia="Calibri" w:hAnsi="Arial" w:cs="Arial"/>
          <w:sz w:val="24"/>
          <w:szCs w:val="24"/>
          <w:lang w:val="es-ES" w:eastAsia="es-ES"/>
        </w:rPr>
        <w:t xml:space="preserve">los de </w:t>
      </w:r>
      <w:r w:rsidRPr="00935C4C">
        <w:rPr>
          <w:rFonts w:ascii="Arial" w:eastAsia="Calibri" w:hAnsi="Arial" w:cs="Arial"/>
          <w:sz w:val="24"/>
          <w:szCs w:val="24"/>
          <w:lang w:val="es-ES" w:eastAsia="es-ES"/>
        </w:rPr>
        <w:t>las Unidades Técnicas de Fiscalización y de lo Contencioso Electoral.</w:t>
      </w:r>
    </w:p>
    <w:p w:rsidR="00DE6061" w:rsidRPr="00935C4C" w:rsidRDefault="00DE6061" w:rsidP="001F3E04">
      <w:pPr>
        <w:spacing w:after="0" w:line="300" w:lineRule="exact"/>
        <w:ind w:left="567" w:hanging="567"/>
        <w:jc w:val="both"/>
        <w:rPr>
          <w:rFonts w:ascii="Arial" w:eastAsia="Calibri" w:hAnsi="Arial" w:cs="Arial"/>
          <w:sz w:val="24"/>
          <w:szCs w:val="24"/>
          <w:lang w:val="es-ES" w:eastAsia="es-ES"/>
        </w:rPr>
      </w:pPr>
    </w:p>
    <w:p w:rsidR="00DE6061" w:rsidRPr="00935C4C" w:rsidRDefault="00DE6061" w:rsidP="001F3E04">
      <w:pPr>
        <w:numPr>
          <w:ilvl w:val="0"/>
          <w:numId w:val="1"/>
        </w:numPr>
        <w:tabs>
          <w:tab w:val="clear" w:pos="360"/>
        </w:tabs>
        <w:spacing w:after="0" w:line="300" w:lineRule="exact"/>
        <w:ind w:left="567" w:hanging="567"/>
        <w:jc w:val="both"/>
        <w:rPr>
          <w:rFonts w:ascii="Arial" w:eastAsia="Calibri" w:hAnsi="Arial" w:cs="Arial"/>
          <w:sz w:val="24"/>
          <w:szCs w:val="24"/>
          <w:lang w:val="es-ES" w:eastAsia="es-ES"/>
        </w:rPr>
      </w:pPr>
      <w:r w:rsidRPr="00935C4C">
        <w:rPr>
          <w:rFonts w:ascii="Arial" w:eastAsia="Calibri" w:hAnsi="Arial" w:cs="Arial"/>
          <w:sz w:val="24"/>
          <w:szCs w:val="24"/>
          <w:lang w:val="es-ES" w:eastAsia="es-ES"/>
        </w:rPr>
        <w:t xml:space="preserve">Con fundamento en el artículo 455 párrafo segundo del Estatuto, el Secretario someterá a consideración de la Junta, la aprobación del </w:t>
      </w:r>
      <w:r w:rsidR="001F3E04">
        <w:rPr>
          <w:rFonts w:ascii="Arial" w:eastAsia="Calibri" w:hAnsi="Arial" w:cs="Arial"/>
          <w:sz w:val="24"/>
          <w:szCs w:val="24"/>
          <w:lang w:val="es-ES" w:eastAsia="es-ES"/>
        </w:rPr>
        <w:t>Proyecto de Acuerdo</w:t>
      </w:r>
      <w:r w:rsidRPr="00935C4C">
        <w:rPr>
          <w:rFonts w:ascii="Arial" w:eastAsia="Calibri" w:hAnsi="Arial" w:cs="Arial"/>
          <w:sz w:val="24"/>
          <w:szCs w:val="24"/>
          <w:lang w:val="es-ES" w:eastAsia="es-ES"/>
        </w:rPr>
        <w:t xml:space="preserve">, en el que designe a una de las Direcciones Ejecutivas o Unidades Técnicas que la integran, para que, en su oportunidad elabore el proyecto de auto de admisión, desechamiento o de no interposición del recurso, y en su caso, el </w:t>
      </w:r>
      <w:r w:rsidR="001F3E04">
        <w:rPr>
          <w:rFonts w:ascii="Arial" w:eastAsia="Calibri" w:hAnsi="Arial" w:cs="Arial"/>
          <w:sz w:val="24"/>
          <w:szCs w:val="24"/>
          <w:lang w:val="es-ES" w:eastAsia="es-ES"/>
        </w:rPr>
        <w:t>Proyecto de Resolución</w:t>
      </w:r>
      <w:r w:rsidRPr="00935C4C">
        <w:rPr>
          <w:rFonts w:ascii="Arial" w:eastAsia="Calibri" w:hAnsi="Arial" w:cs="Arial"/>
          <w:sz w:val="24"/>
          <w:szCs w:val="24"/>
          <w:lang w:val="es-ES" w:eastAsia="es-ES"/>
        </w:rPr>
        <w:t xml:space="preserve"> que en Derecho corresponda.</w:t>
      </w:r>
    </w:p>
    <w:p w:rsidR="00DE6061" w:rsidRPr="00935C4C" w:rsidRDefault="00DE6061" w:rsidP="001F3E04">
      <w:pPr>
        <w:spacing w:after="0" w:line="300" w:lineRule="exact"/>
        <w:ind w:left="567" w:hanging="567"/>
        <w:jc w:val="both"/>
        <w:rPr>
          <w:rFonts w:ascii="Arial" w:eastAsia="Calibri" w:hAnsi="Arial" w:cs="Arial"/>
          <w:sz w:val="24"/>
          <w:szCs w:val="24"/>
          <w:lang w:val="es-ES" w:eastAsia="es-ES"/>
        </w:rPr>
      </w:pPr>
    </w:p>
    <w:p w:rsidR="00DE6061" w:rsidRPr="001B5DED" w:rsidRDefault="00DE6061" w:rsidP="001F3E04">
      <w:pPr>
        <w:numPr>
          <w:ilvl w:val="0"/>
          <w:numId w:val="1"/>
        </w:numPr>
        <w:tabs>
          <w:tab w:val="clear" w:pos="360"/>
        </w:tabs>
        <w:spacing w:after="0" w:line="300" w:lineRule="exact"/>
        <w:ind w:left="567" w:hanging="567"/>
        <w:jc w:val="both"/>
        <w:rPr>
          <w:rFonts w:ascii="Arial" w:eastAsia="Calibri" w:hAnsi="Arial" w:cs="Arial"/>
          <w:sz w:val="24"/>
          <w:szCs w:val="24"/>
          <w:lang w:val="es-ES" w:eastAsia="es-ES"/>
        </w:rPr>
      </w:pPr>
      <w:r w:rsidRPr="00374AD5">
        <w:rPr>
          <w:rFonts w:ascii="Arial" w:eastAsia="Calibri" w:hAnsi="Arial" w:cs="Arial"/>
          <w:sz w:val="24"/>
          <w:szCs w:val="24"/>
          <w:lang w:val="es-ES" w:eastAsia="es-ES"/>
        </w:rPr>
        <w:t xml:space="preserve">En el presente asunto, la autoridad resolutora determinó </w:t>
      </w:r>
      <w:r w:rsidR="001B5DED" w:rsidRPr="00374AD5">
        <w:rPr>
          <w:rFonts w:ascii="Arial" w:eastAsia="Calibri" w:hAnsi="Arial" w:cs="Arial"/>
          <w:sz w:val="24"/>
          <w:szCs w:val="24"/>
          <w:lang w:val="es-ES" w:eastAsia="es-ES"/>
        </w:rPr>
        <w:t>el desechamiento del expediente INE/DEA/D/DRMS/036/2019</w:t>
      </w:r>
      <w:r w:rsidRPr="00374AD5">
        <w:rPr>
          <w:rFonts w:ascii="Arial" w:eastAsia="Calibri" w:hAnsi="Arial" w:cs="Arial"/>
          <w:sz w:val="24"/>
          <w:szCs w:val="24"/>
          <w:lang w:val="es-ES" w:eastAsia="es-ES"/>
        </w:rPr>
        <w:t>,</w:t>
      </w:r>
      <w:r w:rsidR="00374AD5" w:rsidRPr="00374AD5">
        <w:rPr>
          <w:rFonts w:ascii="Arial" w:eastAsia="Calibri" w:hAnsi="Arial" w:cs="Arial"/>
          <w:sz w:val="24"/>
          <w:szCs w:val="24"/>
          <w:lang w:val="es-ES" w:eastAsia="es-ES"/>
        </w:rPr>
        <w:t xml:space="preserve"> ante la falta de elementos de prueba que acreditaran las imputaciones realizadas;</w:t>
      </w:r>
      <w:r w:rsidRPr="00374AD5">
        <w:rPr>
          <w:rFonts w:ascii="Arial" w:eastAsia="Calibri" w:hAnsi="Arial" w:cs="Arial"/>
          <w:sz w:val="24"/>
          <w:szCs w:val="24"/>
          <w:lang w:val="es-ES" w:eastAsia="es-ES"/>
        </w:rPr>
        <w:t xml:space="preserve"> por lo que, ante la interposición </w:t>
      </w:r>
      <w:r w:rsidRPr="00374AD5">
        <w:rPr>
          <w:rFonts w:ascii="Arial" w:eastAsia="Calibri" w:hAnsi="Arial" w:cs="Arial"/>
          <w:sz w:val="24"/>
          <w:szCs w:val="24"/>
          <w:lang w:val="es-ES" w:eastAsia="es-ES"/>
        </w:rPr>
        <w:lastRenderedPageBreak/>
        <w:t xml:space="preserve">de este recurso, resulta procedente designar a la </w:t>
      </w:r>
      <w:r w:rsidR="00374AD5" w:rsidRPr="00374AD5">
        <w:rPr>
          <w:rFonts w:ascii="Arial" w:eastAsia="Calibri" w:hAnsi="Arial" w:cs="Arial"/>
          <w:sz w:val="24"/>
          <w:szCs w:val="24"/>
          <w:lang w:val="es-ES" w:eastAsia="es-ES"/>
        </w:rPr>
        <w:t>Dirección Ejecutiva del Registro Federal de Electores</w:t>
      </w:r>
      <w:r w:rsidR="00371AAC">
        <w:rPr>
          <w:rFonts w:ascii="Arial" w:eastAsia="Calibri" w:hAnsi="Arial" w:cs="Arial"/>
          <w:sz w:val="24"/>
          <w:szCs w:val="24"/>
          <w:lang w:val="es-ES" w:eastAsia="es-ES"/>
        </w:rPr>
        <w:t xml:space="preserve">, </w:t>
      </w:r>
      <w:r w:rsidRPr="001B5DED">
        <w:rPr>
          <w:rFonts w:ascii="Arial" w:eastAsia="Calibri" w:hAnsi="Arial" w:cs="Arial"/>
          <w:sz w:val="24"/>
          <w:szCs w:val="24"/>
          <w:lang w:val="es-ES" w:eastAsia="es-ES"/>
        </w:rPr>
        <w:t xml:space="preserve">como el órgano encargado de elaborar el </w:t>
      </w:r>
      <w:r w:rsidR="001F3E04">
        <w:rPr>
          <w:rFonts w:ascii="Arial" w:eastAsia="Calibri" w:hAnsi="Arial" w:cs="Arial"/>
          <w:sz w:val="24"/>
          <w:szCs w:val="24"/>
          <w:lang w:val="es-ES" w:eastAsia="es-ES"/>
        </w:rPr>
        <w:t>Proyecto de Resolución</w:t>
      </w:r>
      <w:r w:rsidRPr="001B5DED">
        <w:rPr>
          <w:rFonts w:ascii="Arial" w:eastAsia="Calibri" w:hAnsi="Arial" w:cs="Arial"/>
          <w:sz w:val="24"/>
          <w:szCs w:val="24"/>
          <w:lang w:val="es-ES" w:eastAsia="es-ES"/>
        </w:rPr>
        <w:t xml:space="preserve"> que en Derecho corresponda, en virt</w:t>
      </w:r>
      <w:r w:rsidR="00371AAC">
        <w:rPr>
          <w:rFonts w:ascii="Arial" w:eastAsia="Calibri" w:hAnsi="Arial" w:cs="Arial"/>
          <w:sz w:val="24"/>
          <w:szCs w:val="24"/>
          <w:lang w:val="es-ES" w:eastAsia="es-ES"/>
        </w:rPr>
        <w:t xml:space="preserve">ud de que se trata de un asunto </w:t>
      </w:r>
      <w:r w:rsidRPr="001B5DED">
        <w:rPr>
          <w:rFonts w:ascii="Arial" w:eastAsia="Calibri" w:hAnsi="Arial" w:cs="Arial"/>
          <w:sz w:val="24"/>
          <w:szCs w:val="24"/>
          <w:lang w:val="es-ES" w:eastAsia="es-ES"/>
        </w:rPr>
        <w:t xml:space="preserve">que tiene como antecedente el </w:t>
      </w:r>
      <w:r w:rsidR="00371AAC">
        <w:rPr>
          <w:rFonts w:ascii="Arial" w:eastAsia="Calibri" w:hAnsi="Arial" w:cs="Arial"/>
          <w:sz w:val="24"/>
          <w:szCs w:val="24"/>
          <w:lang w:val="es-ES" w:eastAsia="es-ES"/>
        </w:rPr>
        <w:t xml:space="preserve">diverso </w:t>
      </w:r>
      <w:r w:rsidRPr="001B5DED">
        <w:rPr>
          <w:rFonts w:ascii="Arial" w:eastAsia="Calibri" w:hAnsi="Arial" w:cs="Arial"/>
          <w:sz w:val="24"/>
          <w:szCs w:val="24"/>
          <w:lang w:val="es-ES" w:eastAsia="es-ES"/>
        </w:rPr>
        <w:t>recurso de inconformidad INE/RI/</w:t>
      </w:r>
      <w:r w:rsidR="00371AAC">
        <w:rPr>
          <w:rFonts w:ascii="Arial" w:eastAsia="Calibri" w:hAnsi="Arial" w:cs="Arial"/>
          <w:sz w:val="24"/>
          <w:szCs w:val="24"/>
          <w:lang w:val="es-ES" w:eastAsia="es-ES"/>
        </w:rPr>
        <w:t>04/2019</w:t>
      </w:r>
      <w:r w:rsidRPr="001B5DED">
        <w:rPr>
          <w:rFonts w:ascii="Arial" w:eastAsia="Calibri" w:hAnsi="Arial" w:cs="Arial"/>
          <w:sz w:val="24"/>
          <w:szCs w:val="24"/>
          <w:lang w:val="es-ES" w:eastAsia="es-ES"/>
        </w:rPr>
        <w:t xml:space="preserve">, turnado en su oportunidad a esa </w:t>
      </w:r>
      <w:r w:rsidR="00D12A9E">
        <w:rPr>
          <w:rFonts w:ascii="Arial" w:eastAsia="Calibri" w:hAnsi="Arial" w:cs="Arial"/>
          <w:sz w:val="24"/>
          <w:szCs w:val="24"/>
          <w:lang w:val="es-ES" w:eastAsia="es-ES"/>
        </w:rPr>
        <w:t>Dirección Ejecutiva</w:t>
      </w:r>
      <w:r w:rsidRPr="001B5DED">
        <w:rPr>
          <w:rFonts w:ascii="Arial" w:eastAsia="Calibri" w:hAnsi="Arial" w:cs="Arial"/>
          <w:sz w:val="24"/>
          <w:szCs w:val="24"/>
          <w:lang w:val="es-ES" w:eastAsia="es-ES"/>
        </w:rPr>
        <w:t xml:space="preserve">, lo cual permite aprovechar el conocimiento previo de la controversia disciplinaria que constituye el antecedente o hecho común que da origen al acto </w:t>
      </w:r>
      <w:r w:rsidR="0052436E">
        <w:rPr>
          <w:rFonts w:ascii="Arial" w:eastAsia="Calibri" w:hAnsi="Arial" w:cs="Arial"/>
          <w:sz w:val="24"/>
          <w:szCs w:val="24"/>
          <w:lang w:val="es-ES" w:eastAsia="es-ES"/>
        </w:rPr>
        <w:t xml:space="preserve">recurrido </w:t>
      </w:r>
      <w:r w:rsidRPr="001B5DED">
        <w:rPr>
          <w:rFonts w:ascii="Arial" w:eastAsia="Calibri" w:hAnsi="Arial" w:cs="Arial"/>
          <w:sz w:val="24"/>
          <w:szCs w:val="24"/>
          <w:lang w:val="es-ES" w:eastAsia="es-ES"/>
        </w:rPr>
        <w:t xml:space="preserve">a través del medio de impugnación que en esta determinación se turna. </w:t>
      </w:r>
    </w:p>
    <w:p w:rsidR="00DE6061" w:rsidRPr="00935C4C" w:rsidRDefault="00DE6061" w:rsidP="001F3E04">
      <w:pPr>
        <w:spacing w:after="0" w:line="300" w:lineRule="exact"/>
        <w:ind w:left="567" w:hanging="567"/>
        <w:jc w:val="both"/>
        <w:rPr>
          <w:rFonts w:ascii="Arial" w:eastAsia="Calibri" w:hAnsi="Arial" w:cs="Arial"/>
          <w:sz w:val="24"/>
          <w:szCs w:val="24"/>
          <w:lang w:val="es-ES" w:eastAsia="es-ES"/>
        </w:rPr>
      </w:pPr>
    </w:p>
    <w:p w:rsidR="00DE6061" w:rsidRPr="00935C4C" w:rsidRDefault="00DE6061" w:rsidP="001F3E04">
      <w:pPr>
        <w:numPr>
          <w:ilvl w:val="0"/>
          <w:numId w:val="1"/>
        </w:numPr>
        <w:tabs>
          <w:tab w:val="clear" w:pos="360"/>
          <w:tab w:val="num" w:pos="0"/>
        </w:tabs>
        <w:spacing w:after="0" w:line="300" w:lineRule="exact"/>
        <w:ind w:left="567" w:hanging="567"/>
        <w:jc w:val="both"/>
        <w:rPr>
          <w:rFonts w:ascii="Arial" w:eastAsia="Calibri" w:hAnsi="Arial" w:cs="Arial"/>
          <w:sz w:val="24"/>
          <w:szCs w:val="24"/>
          <w:lang w:val="es-ES" w:eastAsia="es-ES"/>
        </w:rPr>
      </w:pPr>
      <w:r w:rsidRPr="00935C4C">
        <w:rPr>
          <w:rFonts w:ascii="Arial" w:eastAsia="Calibri" w:hAnsi="Arial" w:cs="Arial"/>
          <w:sz w:val="24"/>
          <w:szCs w:val="24"/>
          <w:lang w:val="es-ES" w:eastAsia="es-ES"/>
        </w:rPr>
        <w:t xml:space="preserve">Por lo anterior, con fundamento en los artículos 41, párrafo segundo, </w:t>
      </w:r>
      <w:r w:rsidR="001F3E04">
        <w:rPr>
          <w:rFonts w:ascii="Arial" w:eastAsia="Calibri" w:hAnsi="Arial" w:cs="Arial"/>
          <w:sz w:val="24"/>
          <w:szCs w:val="24"/>
          <w:lang w:val="es-ES" w:eastAsia="es-ES"/>
        </w:rPr>
        <w:t>Base V</w:t>
      </w:r>
      <w:r w:rsidRPr="00935C4C">
        <w:rPr>
          <w:rFonts w:ascii="Arial" w:eastAsia="Calibri" w:hAnsi="Arial" w:cs="Arial"/>
          <w:sz w:val="24"/>
          <w:szCs w:val="24"/>
          <w:lang w:val="es-ES" w:eastAsia="es-ES"/>
        </w:rPr>
        <w:t xml:space="preserve">, Apartado A, párrafos primero y segundo de la Constitución; </w:t>
      </w:r>
      <w:r w:rsidRPr="00935C4C">
        <w:rPr>
          <w:rFonts w:ascii="Arial" w:eastAsia="Calibri" w:hAnsi="Arial" w:cs="Arial"/>
          <w:sz w:val="24"/>
          <w:szCs w:val="24"/>
          <w:lang w:eastAsia="es-ES"/>
        </w:rPr>
        <w:t>29,</w:t>
      </w:r>
      <w:r w:rsidRPr="00935C4C">
        <w:rPr>
          <w:rFonts w:ascii="Arial" w:eastAsia="Calibri" w:hAnsi="Arial" w:cs="Arial"/>
          <w:sz w:val="24"/>
          <w:szCs w:val="24"/>
          <w:lang w:val="es-ES" w:eastAsia="es-ES"/>
        </w:rPr>
        <w:t xml:space="preserve"> párrafo 1 y </w:t>
      </w:r>
      <w:r w:rsidRPr="00935C4C">
        <w:rPr>
          <w:rFonts w:ascii="Arial" w:eastAsia="Calibri" w:hAnsi="Arial" w:cs="Arial"/>
          <w:sz w:val="24"/>
          <w:szCs w:val="24"/>
          <w:lang w:eastAsia="es-ES"/>
        </w:rPr>
        <w:t>47</w:t>
      </w:r>
      <w:r w:rsidRPr="00935C4C">
        <w:rPr>
          <w:rFonts w:ascii="Arial" w:eastAsia="Calibri" w:hAnsi="Arial" w:cs="Arial"/>
          <w:sz w:val="24"/>
          <w:szCs w:val="24"/>
          <w:lang w:val="es-ES" w:eastAsia="es-ES"/>
        </w:rPr>
        <w:t>, párrafo 1 de la LGIPE; 453, 455 y 463 del Estatuto, se emite el siguiente:</w:t>
      </w:r>
    </w:p>
    <w:p w:rsidR="00DE6061" w:rsidRDefault="00DE6061" w:rsidP="001F3E04">
      <w:pPr>
        <w:spacing w:after="0" w:line="300" w:lineRule="exact"/>
        <w:jc w:val="both"/>
        <w:rPr>
          <w:rFonts w:ascii="Arial" w:eastAsia="Calibri" w:hAnsi="Arial" w:cs="Arial"/>
          <w:sz w:val="24"/>
          <w:szCs w:val="24"/>
          <w:lang w:val="es-ES" w:eastAsia="es-ES"/>
        </w:rPr>
      </w:pPr>
    </w:p>
    <w:p w:rsidR="001F3E04" w:rsidRPr="00935C4C" w:rsidRDefault="001F3E04" w:rsidP="001F3E04">
      <w:pPr>
        <w:spacing w:after="0" w:line="300" w:lineRule="exact"/>
        <w:jc w:val="both"/>
        <w:rPr>
          <w:rFonts w:ascii="Arial" w:eastAsia="Calibri" w:hAnsi="Arial" w:cs="Arial"/>
          <w:sz w:val="24"/>
          <w:szCs w:val="24"/>
          <w:lang w:val="es-ES" w:eastAsia="es-ES"/>
        </w:rPr>
      </w:pPr>
    </w:p>
    <w:p w:rsidR="00DE6061" w:rsidRPr="00B22390" w:rsidRDefault="00DE6061" w:rsidP="00B22390">
      <w:pPr>
        <w:spacing w:after="0" w:line="300" w:lineRule="exact"/>
        <w:jc w:val="center"/>
        <w:rPr>
          <w:rFonts w:ascii="Arial" w:eastAsia="Calibri" w:hAnsi="Arial" w:cs="Arial"/>
          <w:b/>
          <w:bCs/>
          <w:sz w:val="24"/>
          <w:szCs w:val="24"/>
          <w:lang w:eastAsia="es-ES"/>
        </w:rPr>
      </w:pPr>
      <w:r w:rsidRPr="00B22390">
        <w:rPr>
          <w:rFonts w:ascii="Arial" w:eastAsia="Calibri" w:hAnsi="Arial" w:cs="Arial"/>
          <w:b/>
          <w:bCs/>
          <w:sz w:val="24"/>
          <w:szCs w:val="24"/>
          <w:lang w:eastAsia="es-ES"/>
        </w:rPr>
        <w:t>A C U E R D O</w:t>
      </w:r>
    </w:p>
    <w:p w:rsidR="00DE6061" w:rsidRDefault="00DE6061" w:rsidP="001F3E04">
      <w:pPr>
        <w:spacing w:after="0" w:line="300" w:lineRule="exact"/>
        <w:rPr>
          <w:rFonts w:ascii="Arial" w:eastAsia="Calibri" w:hAnsi="Arial" w:cs="Arial"/>
          <w:b/>
          <w:bCs/>
          <w:sz w:val="24"/>
          <w:szCs w:val="24"/>
          <w:lang w:eastAsia="es-ES"/>
        </w:rPr>
      </w:pPr>
    </w:p>
    <w:p w:rsidR="001F3E04" w:rsidRPr="00935C4C" w:rsidRDefault="001F3E04" w:rsidP="001F3E04">
      <w:pPr>
        <w:spacing w:after="0" w:line="300" w:lineRule="exact"/>
        <w:rPr>
          <w:rFonts w:ascii="Arial" w:eastAsia="Calibri" w:hAnsi="Arial" w:cs="Arial"/>
          <w:b/>
          <w:bCs/>
          <w:sz w:val="24"/>
          <w:szCs w:val="24"/>
          <w:lang w:eastAsia="es-ES"/>
        </w:rPr>
      </w:pPr>
    </w:p>
    <w:p w:rsidR="00DE6061" w:rsidRPr="00935C4C" w:rsidRDefault="00DE6061" w:rsidP="001F3E04">
      <w:pPr>
        <w:spacing w:after="0" w:line="300" w:lineRule="exact"/>
        <w:jc w:val="both"/>
        <w:rPr>
          <w:rFonts w:ascii="Arial" w:eastAsia="Calibri" w:hAnsi="Arial" w:cs="Arial"/>
          <w:sz w:val="24"/>
          <w:szCs w:val="24"/>
          <w:lang w:val="es-ES" w:eastAsia="es-ES"/>
        </w:rPr>
      </w:pPr>
      <w:r w:rsidRPr="00935C4C">
        <w:rPr>
          <w:rFonts w:ascii="Arial" w:eastAsia="Calibri" w:hAnsi="Arial" w:cs="Arial"/>
          <w:b/>
          <w:sz w:val="24"/>
          <w:szCs w:val="24"/>
          <w:lang w:val="es-ES" w:eastAsia="es-ES"/>
        </w:rPr>
        <w:t>Primero.</w:t>
      </w:r>
      <w:r w:rsidRPr="00935C4C">
        <w:rPr>
          <w:rFonts w:ascii="Arial" w:eastAsia="Calibri" w:hAnsi="Arial" w:cs="Arial"/>
          <w:sz w:val="24"/>
          <w:szCs w:val="24"/>
          <w:lang w:val="es-ES" w:eastAsia="es-ES"/>
        </w:rPr>
        <w:t xml:space="preserve"> Se designa a la </w:t>
      </w:r>
      <w:r w:rsidR="00203661" w:rsidRPr="00374AD5">
        <w:rPr>
          <w:rFonts w:ascii="Arial" w:eastAsia="Calibri" w:hAnsi="Arial" w:cs="Arial"/>
          <w:sz w:val="24"/>
          <w:szCs w:val="24"/>
          <w:lang w:val="es-ES" w:eastAsia="es-ES"/>
        </w:rPr>
        <w:t>Dirección Ejecutiva del Registro Federal de Electores</w:t>
      </w:r>
      <w:r w:rsidR="00203661" w:rsidRPr="00935C4C">
        <w:rPr>
          <w:rFonts w:ascii="Arial" w:eastAsia="Calibri" w:hAnsi="Arial" w:cs="Arial"/>
          <w:sz w:val="24"/>
          <w:szCs w:val="24"/>
          <w:lang w:val="es-ES" w:eastAsia="es-ES"/>
        </w:rPr>
        <w:t xml:space="preserve"> </w:t>
      </w:r>
      <w:r w:rsidRPr="00935C4C">
        <w:rPr>
          <w:rFonts w:ascii="Arial" w:eastAsia="Calibri" w:hAnsi="Arial" w:cs="Arial"/>
          <w:sz w:val="24"/>
          <w:szCs w:val="24"/>
          <w:lang w:val="es-ES" w:eastAsia="es-ES"/>
        </w:rPr>
        <w:t>para que, por su conducto,</w:t>
      </w:r>
      <w:r w:rsidRPr="00935C4C">
        <w:rPr>
          <w:rFonts w:ascii="Arial" w:eastAsia="Times New Roman" w:hAnsi="Arial" w:cs="Arial"/>
          <w:b/>
          <w:bCs/>
          <w:sz w:val="24"/>
          <w:szCs w:val="24"/>
          <w:lang w:eastAsia="es-ES"/>
        </w:rPr>
        <w:t xml:space="preserve"> </w:t>
      </w:r>
      <w:r w:rsidRPr="00935C4C">
        <w:rPr>
          <w:rFonts w:ascii="Arial" w:eastAsia="Calibri" w:hAnsi="Arial" w:cs="Arial"/>
          <w:bCs/>
          <w:sz w:val="24"/>
          <w:szCs w:val="24"/>
          <w:lang w:eastAsia="es-ES"/>
        </w:rPr>
        <w:t xml:space="preserve">elabore el </w:t>
      </w:r>
      <w:r w:rsidR="001F3E04">
        <w:rPr>
          <w:rFonts w:ascii="Arial" w:eastAsia="Calibri" w:hAnsi="Arial" w:cs="Arial"/>
          <w:bCs/>
          <w:sz w:val="24"/>
          <w:szCs w:val="24"/>
          <w:lang w:eastAsia="es-ES"/>
        </w:rPr>
        <w:t>Proyecto de Resolución</w:t>
      </w:r>
      <w:r w:rsidRPr="00935C4C">
        <w:rPr>
          <w:rFonts w:ascii="Arial" w:eastAsia="Calibri" w:hAnsi="Arial" w:cs="Arial"/>
          <w:bCs/>
          <w:sz w:val="24"/>
          <w:szCs w:val="24"/>
          <w:lang w:eastAsia="es-ES"/>
        </w:rPr>
        <w:t xml:space="preserve"> que en Derecho proceda del recurso de inconformidad interpuesto por</w:t>
      </w:r>
      <w:r w:rsidRPr="00935C4C">
        <w:rPr>
          <w:rFonts w:ascii="Arial" w:eastAsia="Calibri" w:hAnsi="Arial" w:cs="Arial"/>
          <w:sz w:val="24"/>
          <w:szCs w:val="24"/>
          <w:lang w:val="es-ES" w:eastAsia="es-ES"/>
        </w:rPr>
        <w:t xml:space="preserve"> </w:t>
      </w:r>
      <w:r w:rsidR="00DD0288">
        <w:rPr>
          <w:rFonts w:ascii="Arial" w:eastAsia="Calibri" w:hAnsi="Arial" w:cs="Arial"/>
          <w:sz w:val="24"/>
          <w:szCs w:val="24"/>
          <w:highlight w:val="black"/>
          <w:lang w:val="es-ES" w:eastAsia="es-ES"/>
        </w:rPr>
        <w:t>Luis Arturo Carrillo Velasco</w:t>
      </w:r>
      <w:r w:rsidRPr="00935C4C">
        <w:rPr>
          <w:rFonts w:ascii="Arial" w:eastAsia="Calibri" w:hAnsi="Arial" w:cs="Arial"/>
          <w:sz w:val="24"/>
          <w:szCs w:val="24"/>
          <w:lang w:val="es-ES" w:eastAsia="es-ES"/>
        </w:rPr>
        <w:t>,</w:t>
      </w:r>
      <w:bookmarkStart w:id="0" w:name="_GoBack"/>
      <w:bookmarkEnd w:id="0"/>
      <w:r w:rsidRPr="00935C4C">
        <w:rPr>
          <w:rFonts w:ascii="Arial" w:eastAsia="Calibri" w:hAnsi="Arial" w:cs="Arial"/>
          <w:sz w:val="24"/>
          <w:szCs w:val="24"/>
          <w:lang w:val="es-ES" w:eastAsia="es-ES"/>
        </w:rPr>
        <w:t xml:space="preserve"> de conformidad con lo establecido en el artículo 455 del Estatuto.</w:t>
      </w:r>
    </w:p>
    <w:p w:rsidR="00DE6061" w:rsidRPr="00935C4C" w:rsidRDefault="00DE6061" w:rsidP="001F3E04">
      <w:pPr>
        <w:spacing w:after="0" w:line="300" w:lineRule="exact"/>
        <w:jc w:val="both"/>
        <w:rPr>
          <w:rFonts w:ascii="Arial" w:eastAsia="Calibri" w:hAnsi="Arial" w:cs="Arial"/>
          <w:bCs/>
          <w:sz w:val="24"/>
          <w:szCs w:val="24"/>
          <w:lang w:eastAsia="es-ES"/>
        </w:rPr>
      </w:pPr>
    </w:p>
    <w:p w:rsidR="00DE6061" w:rsidRPr="00935C4C" w:rsidRDefault="00DE6061" w:rsidP="001F3E04">
      <w:pPr>
        <w:spacing w:after="0" w:line="300" w:lineRule="exact"/>
        <w:jc w:val="both"/>
        <w:rPr>
          <w:rFonts w:ascii="Arial" w:eastAsia="Calibri" w:hAnsi="Arial" w:cs="Arial"/>
          <w:bCs/>
          <w:sz w:val="24"/>
          <w:szCs w:val="24"/>
          <w:lang w:eastAsia="es-ES"/>
        </w:rPr>
      </w:pPr>
      <w:r w:rsidRPr="00935C4C">
        <w:rPr>
          <w:rFonts w:ascii="Arial" w:eastAsia="Calibri" w:hAnsi="Arial" w:cs="Arial"/>
          <w:b/>
          <w:sz w:val="24"/>
          <w:szCs w:val="24"/>
          <w:lang w:val="es-ES" w:eastAsia="es-ES"/>
        </w:rPr>
        <w:t>Segundo.</w:t>
      </w:r>
      <w:r w:rsidRPr="00935C4C">
        <w:rPr>
          <w:rFonts w:ascii="Arial" w:eastAsia="Calibri" w:hAnsi="Arial" w:cs="Arial"/>
          <w:sz w:val="24"/>
          <w:szCs w:val="24"/>
          <w:lang w:val="es-ES" w:eastAsia="es-ES"/>
        </w:rPr>
        <w:t xml:space="preserve"> El referido órgano en uso de la atribución que ahora se le confiere deberá presentar ante esta Junta General Ejecutiva, para su </w:t>
      </w:r>
      <w:r w:rsidRPr="00935C4C">
        <w:rPr>
          <w:rFonts w:ascii="Arial" w:eastAsia="Calibri" w:hAnsi="Arial" w:cs="Arial"/>
          <w:bCs/>
          <w:sz w:val="24"/>
          <w:szCs w:val="24"/>
          <w:lang w:eastAsia="es-ES"/>
        </w:rPr>
        <w:t xml:space="preserve">conocimiento, análisis y aprobación, el </w:t>
      </w:r>
      <w:r w:rsidR="001F3E04">
        <w:rPr>
          <w:rFonts w:ascii="Arial" w:eastAsia="Calibri" w:hAnsi="Arial" w:cs="Arial"/>
          <w:bCs/>
          <w:sz w:val="24"/>
          <w:szCs w:val="24"/>
          <w:lang w:eastAsia="es-ES"/>
        </w:rPr>
        <w:t>Proyecto de Resolución</w:t>
      </w:r>
      <w:r w:rsidRPr="00935C4C">
        <w:rPr>
          <w:rFonts w:ascii="Arial" w:eastAsia="Calibri" w:hAnsi="Arial" w:cs="Arial"/>
          <w:bCs/>
          <w:sz w:val="24"/>
          <w:szCs w:val="24"/>
          <w:lang w:eastAsia="es-ES"/>
        </w:rPr>
        <w:t xml:space="preserve"> señalado en el </w:t>
      </w:r>
      <w:r w:rsidR="001F3E04">
        <w:rPr>
          <w:rFonts w:ascii="Arial" w:eastAsia="Calibri" w:hAnsi="Arial" w:cs="Arial"/>
          <w:bCs/>
          <w:sz w:val="24"/>
          <w:szCs w:val="24"/>
          <w:lang w:eastAsia="es-ES"/>
        </w:rPr>
        <w:t>Punto Primero</w:t>
      </w:r>
      <w:r w:rsidRPr="00935C4C">
        <w:rPr>
          <w:rFonts w:ascii="Arial" w:eastAsia="Calibri" w:hAnsi="Arial" w:cs="Arial"/>
          <w:bCs/>
          <w:sz w:val="24"/>
          <w:szCs w:val="24"/>
          <w:lang w:eastAsia="es-ES"/>
        </w:rPr>
        <w:t xml:space="preserve"> de este Acuerdo.</w:t>
      </w:r>
    </w:p>
    <w:p w:rsidR="00DE6061" w:rsidRPr="00935C4C" w:rsidRDefault="00DE6061" w:rsidP="001F3E04">
      <w:pPr>
        <w:spacing w:after="0" w:line="300" w:lineRule="exact"/>
        <w:jc w:val="both"/>
        <w:rPr>
          <w:rFonts w:ascii="Arial" w:eastAsia="Calibri" w:hAnsi="Arial" w:cs="Arial"/>
          <w:bCs/>
          <w:sz w:val="24"/>
          <w:szCs w:val="24"/>
          <w:lang w:eastAsia="es-ES"/>
        </w:rPr>
      </w:pPr>
    </w:p>
    <w:p w:rsidR="00DE6061" w:rsidRPr="00935C4C" w:rsidRDefault="00DE6061" w:rsidP="001F3E04">
      <w:pPr>
        <w:spacing w:after="0" w:line="300" w:lineRule="exact"/>
        <w:jc w:val="both"/>
        <w:rPr>
          <w:rFonts w:ascii="Arial" w:eastAsia="Calibri" w:hAnsi="Arial" w:cs="Arial"/>
          <w:bCs/>
          <w:sz w:val="24"/>
          <w:szCs w:val="24"/>
          <w:lang w:eastAsia="es-ES"/>
        </w:rPr>
      </w:pPr>
      <w:r w:rsidRPr="00935C4C">
        <w:rPr>
          <w:rFonts w:ascii="Arial" w:eastAsia="Calibri" w:hAnsi="Arial" w:cs="Arial"/>
          <w:b/>
          <w:bCs/>
          <w:sz w:val="24"/>
          <w:szCs w:val="24"/>
          <w:lang w:eastAsia="es-ES"/>
        </w:rPr>
        <w:t xml:space="preserve">Tercero. </w:t>
      </w:r>
      <w:r w:rsidRPr="00935C4C">
        <w:rPr>
          <w:rFonts w:ascii="Arial" w:eastAsia="Calibri" w:hAnsi="Arial" w:cs="Arial"/>
          <w:bCs/>
          <w:sz w:val="24"/>
          <w:szCs w:val="24"/>
          <w:lang w:eastAsia="es-ES"/>
        </w:rPr>
        <w:t xml:space="preserve">Para los efectos precisados en los puntos anteriores, remítanse al órgano designado las constancias que integran el presente recurso de inconformidad, al cual se asigna el número de expediente </w:t>
      </w:r>
      <w:r w:rsidR="00203661">
        <w:rPr>
          <w:rFonts w:ascii="Arial" w:eastAsia="Calibri" w:hAnsi="Arial" w:cs="Arial"/>
          <w:bCs/>
          <w:sz w:val="24"/>
          <w:szCs w:val="24"/>
          <w:lang w:eastAsia="es-ES"/>
        </w:rPr>
        <w:t>INE/R.I./16</w:t>
      </w:r>
      <w:r w:rsidRPr="00935C4C">
        <w:rPr>
          <w:rFonts w:ascii="Arial" w:eastAsia="Calibri" w:hAnsi="Arial" w:cs="Arial"/>
          <w:bCs/>
          <w:sz w:val="24"/>
          <w:szCs w:val="24"/>
          <w:lang w:eastAsia="es-ES"/>
        </w:rPr>
        <w:t>/2019.</w:t>
      </w:r>
    </w:p>
    <w:p w:rsidR="00DE6061" w:rsidRPr="00935C4C" w:rsidRDefault="00DE6061" w:rsidP="001F3E04">
      <w:pPr>
        <w:spacing w:after="0" w:line="300" w:lineRule="exact"/>
        <w:jc w:val="both"/>
        <w:rPr>
          <w:rFonts w:ascii="Arial" w:eastAsia="Calibri" w:hAnsi="Arial" w:cs="Arial"/>
          <w:bCs/>
          <w:sz w:val="24"/>
          <w:szCs w:val="24"/>
          <w:lang w:eastAsia="es-ES"/>
        </w:rPr>
      </w:pPr>
    </w:p>
    <w:p w:rsidR="00DE6061" w:rsidRPr="00935C4C" w:rsidRDefault="00DE6061" w:rsidP="001F3E04">
      <w:pPr>
        <w:autoSpaceDE w:val="0"/>
        <w:autoSpaceDN w:val="0"/>
        <w:adjustRightInd w:val="0"/>
        <w:spacing w:after="0" w:line="300" w:lineRule="exact"/>
        <w:jc w:val="both"/>
        <w:rPr>
          <w:rFonts w:ascii="Arial" w:eastAsia="Calibri" w:hAnsi="Arial" w:cs="Arial"/>
          <w:sz w:val="24"/>
          <w:szCs w:val="24"/>
          <w:lang w:val="es-ES" w:eastAsia="es-ES"/>
        </w:rPr>
      </w:pPr>
      <w:r w:rsidRPr="00935C4C">
        <w:rPr>
          <w:rFonts w:ascii="Arial" w:eastAsia="Calibri" w:hAnsi="Arial" w:cs="Arial"/>
          <w:b/>
          <w:sz w:val="24"/>
          <w:szCs w:val="24"/>
          <w:lang w:val="es-ES" w:eastAsia="es-ES"/>
        </w:rPr>
        <w:t xml:space="preserve">Cuarto. </w:t>
      </w:r>
      <w:r w:rsidRPr="00935C4C">
        <w:rPr>
          <w:rFonts w:ascii="Arial" w:eastAsia="Calibri" w:hAnsi="Arial" w:cs="Arial"/>
          <w:sz w:val="24"/>
          <w:szCs w:val="24"/>
          <w:lang w:val="es-ES" w:eastAsia="es-ES"/>
        </w:rPr>
        <w:t xml:space="preserve">Requiérase a la Dirección </w:t>
      </w:r>
      <w:r w:rsidR="00203661">
        <w:rPr>
          <w:rFonts w:ascii="Arial" w:eastAsia="Calibri" w:hAnsi="Arial" w:cs="Arial"/>
          <w:sz w:val="24"/>
          <w:szCs w:val="24"/>
          <w:lang w:val="es-ES" w:eastAsia="es-ES"/>
        </w:rPr>
        <w:t xml:space="preserve">Ejecutiva de Administración </w:t>
      </w:r>
      <w:r w:rsidRPr="00935C4C">
        <w:rPr>
          <w:rFonts w:ascii="Arial" w:eastAsia="Calibri" w:hAnsi="Arial" w:cs="Arial"/>
          <w:sz w:val="24"/>
          <w:szCs w:val="24"/>
          <w:lang w:val="es-ES" w:eastAsia="es-ES"/>
        </w:rPr>
        <w:t xml:space="preserve">para que remita a la </w:t>
      </w:r>
      <w:r w:rsidR="00203661">
        <w:rPr>
          <w:rFonts w:ascii="Arial" w:eastAsia="Calibri" w:hAnsi="Arial" w:cs="Arial"/>
          <w:sz w:val="24"/>
          <w:szCs w:val="24"/>
          <w:lang w:val="es-ES" w:eastAsia="es-ES"/>
        </w:rPr>
        <w:t xml:space="preserve">Dirección Ejecutiva </w:t>
      </w:r>
      <w:r w:rsidRPr="00935C4C">
        <w:rPr>
          <w:rFonts w:ascii="Arial" w:eastAsia="Calibri" w:hAnsi="Arial" w:cs="Arial"/>
          <w:sz w:val="24"/>
          <w:szCs w:val="24"/>
          <w:lang w:val="es-ES" w:eastAsia="es-ES"/>
        </w:rPr>
        <w:t xml:space="preserve">designada, las constancias que integran el expediente </w:t>
      </w:r>
      <w:r w:rsidR="00203661">
        <w:rPr>
          <w:rFonts w:ascii="Arial" w:eastAsia="Calibri" w:hAnsi="Arial" w:cs="Arial"/>
          <w:sz w:val="24"/>
          <w:szCs w:val="24"/>
          <w:lang w:val="es-ES" w:eastAsia="es-ES"/>
        </w:rPr>
        <w:t>INE/DEA/D/DRMS/036/2019</w:t>
      </w:r>
      <w:r w:rsidRPr="00935C4C">
        <w:rPr>
          <w:rFonts w:ascii="Arial" w:eastAsia="Calibri" w:hAnsi="Arial" w:cs="Arial"/>
          <w:sz w:val="24"/>
          <w:szCs w:val="24"/>
          <w:lang w:val="es-ES" w:eastAsia="es-ES"/>
        </w:rPr>
        <w:t>.</w:t>
      </w:r>
    </w:p>
    <w:p w:rsidR="00DE6061" w:rsidRDefault="00DE6061" w:rsidP="001F3E04">
      <w:pPr>
        <w:autoSpaceDE w:val="0"/>
        <w:autoSpaceDN w:val="0"/>
        <w:adjustRightInd w:val="0"/>
        <w:spacing w:after="0" w:line="300" w:lineRule="exact"/>
        <w:jc w:val="both"/>
        <w:rPr>
          <w:rFonts w:ascii="Arial" w:eastAsia="Calibri" w:hAnsi="Arial" w:cs="Arial"/>
          <w:b/>
          <w:sz w:val="24"/>
          <w:szCs w:val="24"/>
          <w:lang w:val="es-ES" w:eastAsia="es-ES"/>
        </w:rPr>
      </w:pPr>
    </w:p>
    <w:p w:rsidR="001F3E04" w:rsidRPr="00935C4C" w:rsidRDefault="001F3E04" w:rsidP="001F3E04">
      <w:pPr>
        <w:autoSpaceDE w:val="0"/>
        <w:autoSpaceDN w:val="0"/>
        <w:adjustRightInd w:val="0"/>
        <w:spacing w:after="0" w:line="300" w:lineRule="exact"/>
        <w:jc w:val="both"/>
        <w:rPr>
          <w:rFonts w:ascii="Arial" w:eastAsia="Calibri" w:hAnsi="Arial" w:cs="Arial"/>
          <w:b/>
          <w:sz w:val="24"/>
          <w:szCs w:val="24"/>
          <w:lang w:val="es-ES" w:eastAsia="es-ES"/>
        </w:rPr>
      </w:pPr>
    </w:p>
    <w:p w:rsidR="00111523" w:rsidRDefault="00DE6061" w:rsidP="00B22390">
      <w:pPr>
        <w:autoSpaceDE w:val="0"/>
        <w:autoSpaceDN w:val="0"/>
        <w:adjustRightInd w:val="0"/>
        <w:spacing w:after="0" w:line="250" w:lineRule="exact"/>
        <w:jc w:val="both"/>
        <w:rPr>
          <w:rFonts w:ascii="Arial" w:eastAsia="Calibri" w:hAnsi="Arial" w:cs="Arial"/>
          <w:sz w:val="24"/>
          <w:szCs w:val="24"/>
          <w:lang w:eastAsia="es-ES"/>
        </w:rPr>
      </w:pPr>
      <w:r w:rsidRPr="00935C4C">
        <w:rPr>
          <w:rFonts w:ascii="Arial" w:eastAsia="Calibri" w:hAnsi="Arial" w:cs="Arial"/>
          <w:b/>
          <w:sz w:val="24"/>
          <w:szCs w:val="24"/>
          <w:lang w:eastAsia="es-ES"/>
        </w:rPr>
        <w:lastRenderedPageBreak/>
        <w:t>Quinto</w:t>
      </w:r>
      <w:r w:rsidRPr="00B22390">
        <w:rPr>
          <w:rFonts w:ascii="Arial" w:eastAsia="Calibri" w:hAnsi="Arial" w:cs="Arial"/>
          <w:b/>
          <w:sz w:val="24"/>
          <w:szCs w:val="24"/>
          <w:lang w:eastAsia="es-ES"/>
        </w:rPr>
        <w:t>.</w:t>
      </w:r>
      <w:r w:rsidRPr="00935C4C">
        <w:rPr>
          <w:rFonts w:ascii="Arial" w:eastAsia="Calibri" w:hAnsi="Arial" w:cs="Arial"/>
          <w:sz w:val="24"/>
          <w:szCs w:val="24"/>
          <w:lang w:eastAsia="es-ES"/>
        </w:rPr>
        <w:t xml:space="preserve"> Publíquese el presente Acuerdo en la Gaceta del Instituto Nacional Electoral y en los estrados del Instituto, </w:t>
      </w:r>
      <w:r w:rsidR="00B919A2">
        <w:rPr>
          <w:rFonts w:ascii="Arial" w:eastAsia="Calibri" w:hAnsi="Arial" w:cs="Arial"/>
          <w:sz w:val="24"/>
          <w:szCs w:val="24"/>
          <w:lang w:eastAsia="es-ES"/>
        </w:rPr>
        <w:t xml:space="preserve">en la versión publica correspondiente, </w:t>
      </w:r>
      <w:r w:rsidR="00B919A2" w:rsidRPr="0093584F">
        <w:rPr>
          <w:rFonts w:ascii="Arial" w:eastAsia="Calibri" w:hAnsi="Arial" w:cs="Arial"/>
          <w:sz w:val="24"/>
          <w:szCs w:val="24"/>
          <w:lang w:eastAsia="es-ES"/>
        </w:rPr>
        <w:t>de</w:t>
      </w:r>
      <w:r w:rsidR="00B919A2">
        <w:rPr>
          <w:rFonts w:ascii="Arial" w:eastAsia="Calibri" w:hAnsi="Arial" w:cs="Arial"/>
          <w:sz w:val="24"/>
          <w:szCs w:val="24"/>
          <w:lang w:eastAsia="es-ES"/>
        </w:rPr>
        <w:t xml:space="preserve"> conformidad a lo señalado en los</w:t>
      </w:r>
      <w:r w:rsidR="00B919A2" w:rsidRPr="0093584F">
        <w:rPr>
          <w:rFonts w:ascii="Arial" w:eastAsia="Calibri" w:hAnsi="Arial" w:cs="Arial"/>
          <w:sz w:val="24"/>
          <w:szCs w:val="24"/>
          <w:lang w:eastAsia="es-ES"/>
        </w:rPr>
        <w:t xml:space="preserve"> artículo</w:t>
      </w:r>
      <w:r w:rsidR="00B919A2">
        <w:rPr>
          <w:rFonts w:ascii="Arial" w:eastAsia="Calibri" w:hAnsi="Arial" w:cs="Arial"/>
          <w:sz w:val="24"/>
          <w:szCs w:val="24"/>
          <w:lang w:eastAsia="es-ES"/>
        </w:rPr>
        <w:t>s</w:t>
      </w:r>
      <w:r w:rsidR="00B919A2" w:rsidRPr="0093584F">
        <w:rPr>
          <w:rFonts w:ascii="Arial" w:eastAsia="Calibri" w:hAnsi="Arial" w:cs="Arial"/>
          <w:sz w:val="24"/>
          <w:szCs w:val="24"/>
          <w:lang w:eastAsia="es-ES"/>
        </w:rPr>
        <w:t xml:space="preserve"> 25, numeral I del Reglamento de Sesiones de la Junta General Ejecutiva </w:t>
      </w:r>
      <w:r w:rsidR="00B919A2">
        <w:rPr>
          <w:rFonts w:ascii="Arial" w:eastAsia="Calibri" w:hAnsi="Arial" w:cs="Arial"/>
          <w:sz w:val="24"/>
          <w:szCs w:val="24"/>
          <w:lang w:eastAsia="es-ES"/>
        </w:rPr>
        <w:t xml:space="preserve">del Instituto Nacional Electoral, así como 23 y 68 de la Ley General de Transparencia y Acceso a la Información Pública y 11, párrafo 4 del Reglamento </w:t>
      </w:r>
      <w:r w:rsidR="00B919A2" w:rsidRPr="00E16D10">
        <w:rPr>
          <w:rFonts w:ascii="Arial" w:eastAsia="Calibri" w:hAnsi="Arial" w:cs="Arial"/>
          <w:sz w:val="24"/>
          <w:szCs w:val="24"/>
          <w:lang w:eastAsia="es-ES"/>
        </w:rPr>
        <w:t xml:space="preserve">del Instituto Nacional Electoral en materia de transparencia y </w:t>
      </w:r>
      <w:r w:rsidR="00B919A2">
        <w:rPr>
          <w:rFonts w:ascii="Arial" w:eastAsia="Calibri" w:hAnsi="Arial" w:cs="Arial"/>
          <w:sz w:val="24"/>
          <w:szCs w:val="24"/>
          <w:lang w:eastAsia="es-ES"/>
        </w:rPr>
        <w:t>acceso a la información pública</w:t>
      </w:r>
      <w:r w:rsidR="00B919A2" w:rsidRPr="0093584F">
        <w:rPr>
          <w:rFonts w:ascii="Arial" w:eastAsia="Calibri" w:hAnsi="Arial" w:cs="Arial"/>
          <w:sz w:val="24"/>
          <w:szCs w:val="24"/>
          <w:lang w:eastAsia="es-ES"/>
        </w:rPr>
        <w:t>.</w:t>
      </w:r>
    </w:p>
    <w:p w:rsidR="001F3E04" w:rsidRDefault="001F3E04" w:rsidP="00B22390">
      <w:pPr>
        <w:autoSpaceDE w:val="0"/>
        <w:autoSpaceDN w:val="0"/>
        <w:adjustRightInd w:val="0"/>
        <w:spacing w:after="0" w:line="250" w:lineRule="exact"/>
        <w:jc w:val="both"/>
        <w:rPr>
          <w:rFonts w:ascii="Arial" w:eastAsia="Calibri" w:hAnsi="Arial" w:cs="Arial"/>
          <w:sz w:val="24"/>
          <w:szCs w:val="24"/>
          <w:lang w:eastAsia="es-ES"/>
        </w:rPr>
      </w:pPr>
    </w:p>
    <w:p w:rsidR="001F3E04" w:rsidRPr="001F3E04" w:rsidRDefault="001F3E04" w:rsidP="00B22390">
      <w:pPr>
        <w:tabs>
          <w:tab w:val="left" w:pos="8505"/>
        </w:tabs>
        <w:autoSpaceDE w:val="0"/>
        <w:autoSpaceDN w:val="0"/>
        <w:adjustRightInd w:val="0"/>
        <w:spacing w:after="0" w:line="250" w:lineRule="exact"/>
        <w:jc w:val="both"/>
        <w:rPr>
          <w:rFonts w:ascii="Arial" w:eastAsia="Times New Roman" w:hAnsi="Arial" w:cs="Arial"/>
          <w:sz w:val="24"/>
          <w:szCs w:val="24"/>
          <w:lang w:eastAsia="es-ES"/>
        </w:rPr>
      </w:pPr>
      <w:r w:rsidRPr="001F3E04">
        <w:rPr>
          <w:rFonts w:ascii="Arial" w:eastAsia="Times New Roman" w:hAnsi="Arial" w:cs="Arial"/>
          <w:sz w:val="24"/>
          <w:szCs w:val="24"/>
          <w:lang w:eastAsia="es-ES"/>
        </w:rPr>
        <w:t>El presente Acuerdo fue aprobado en sesión ordinaria de la Junta General Ejecutiva celebrada el 26 de agosto de 2019, por votación unánime de los Directores Ejecutivos del Registro Federal de Electores, Ingeniero René Miranda Jaimes; de Prerrogativas y Partidos Políticos, Maestro Patricio Ballados Villagómez; de la encargada del Despacho de la Dirección Ejecutiva de Organización Electoral, Licenciada María del Carmen Colín Martínez; del Servicio Profesional Electoral Nacional, Doctor José Rafael Martínez Puón; de Capacitación Electoral y Educación Cívica, Maestro Roberto Heycher Cardiel Soto; de Administración, Licenciado Bogart Cristóbal Montiel Reyna; del encargado del Despacho de la Unidad Técnica de Fiscalización, Licenciado Carlos Alberto Morales Domínguez; de los Directores de las Unidades Técnicas de lo Contencioso Electoral, Maestro Carlos Alberto Ferrer Silva y de Vinculación con los Organismos Públicos Locales, Maestro Miguel Ángel Patiño Arroyo; del Secretario Ejecutivo y Secretario de la Junta General Ejecutiva, Licenciado Edmundo Jacobo Molina y del Consejero Presidente y Presidente de la Junta General Ejecutiva, Doctor Lorenzo Córdova Vianello.</w:t>
      </w:r>
    </w:p>
    <w:p w:rsidR="001F3E04" w:rsidRPr="001F3E04" w:rsidRDefault="001F3E04" w:rsidP="001F3E04">
      <w:pPr>
        <w:autoSpaceDE w:val="0"/>
        <w:autoSpaceDN w:val="0"/>
        <w:adjustRightInd w:val="0"/>
        <w:spacing w:after="0" w:line="306" w:lineRule="exact"/>
        <w:jc w:val="both"/>
        <w:rPr>
          <w:rFonts w:ascii="Arial" w:eastAsia="Times New Roman" w:hAnsi="Arial" w:cs="Arial"/>
          <w:sz w:val="24"/>
          <w:szCs w:val="24"/>
          <w:lang w:val="es-ES" w:eastAsia="es-ES"/>
        </w:rPr>
      </w:pPr>
    </w:p>
    <w:p w:rsidR="001F3E04" w:rsidRPr="001F3E04" w:rsidRDefault="001F3E04" w:rsidP="001F3E04">
      <w:pPr>
        <w:autoSpaceDE w:val="0"/>
        <w:autoSpaceDN w:val="0"/>
        <w:adjustRightInd w:val="0"/>
        <w:spacing w:after="0" w:line="306" w:lineRule="exact"/>
        <w:jc w:val="both"/>
        <w:rPr>
          <w:rFonts w:ascii="Arial" w:eastAsia="Times New Roman" w:hAnsi="Arial" w:cs="Arial"/>
          <w:sz w:val="24"/>
          <w:szCs w:val="24"/>
          <w:lang w:val="es-ES" w:eastAsia="es-ES"/>
        </w:rPr>
      </w:pPr>
    </w:p>
    <w:tbl>
      <w:tblPr>
        <w:tblW w:w="4737" w:type="pct"/>
        <w:jc w:val="center"/>
        <w:tblCellMar>
          <w:left w:w="70" w:type="dxa"/>
          <w:right w:w="70" w:type="dxa"/>
        </w:tblCellMar>
        <w:tblLook w:val="04A0" w:firstRow="1" w:lastRow="0" w:firstColumn="1" w:lastColumn="0" w:noHBand="0" w:noVBand="1"/>
      </w:tblPr>
      <w:tblGrid>
        <w:gridCol w:w="4476"/>
        <w:gridCol w:w="3897"/>
      </w:tblGrid>
      <w:tr w:rsidR="001F3E04" w:rsidRPr="001F3E04" w:rsidTr="002B338A">
        <w:trPr>
          <w:jc w:val="center"/>
        </w:trPr>
        <w:tc>
          <w:tcPr>
            <w:tcW w:w="2673" w:type="pct"/>
            <w:vAlign w:val="center"/>
          </w:tcPr>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r w:rsidRPr="001F3E04">
              <w:rPr>
                <w:rFonts w:ascii="Arial" w:eastAsia="Times New Roman" w:hAnsi="Arial" w:cs="Arial"/>
                <w:b/>
                <w:bCs/>
                <w:sz w:val="24"/>
                <w:szCs w:val="24"/>
                <w:lang w:val="es-ES" w:eastAsia="es-ES"/>
              </w:rPr>
              <w:t>EL CONSEJERO PRESIDENTE DEL CONSEJO GENERAL Y PRESIDENTE DE LA JUNTA GENERAL EJECUTIVA DEL INSTITUTO NACIONAL ELECTORAL</w:t>
            </w: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r w:rsidRPr="001F3E04">
              <w:rPr>
                <w:rFonts w:ascii="Arial" w:eastAsia="Times New Roman" w:hAnsi="Arial" w:cs="Arial"/>
                <w:b/>
                <w:bCs/>
                <w:sz w:val="24"/>
                <w:szCs w:val="24"/>
                <w:lang w:val="es-ES" w:eastAsia="es-ES"/>
              </w:rPr>
              <w:t>DR. LORENZO CÓRDOVA</w:t>
            </w:r>
          </w:p>
          <w:p w:rsidR="001F3E04" w:rsidRPr="001F3E04" w:rsidRDefault="001F3E04" w:rsidP="001F3E04">
            <w:pPr>
              <w:spacing w:after="0" w:line="280" w:lineRule="exact"/>
              <w:jc w:val="center"/>
              <w:rPr>
                <w:rFonts w:ascii="Arial" w:eastAsia="Times New Roman" w:hAnsi="Arial" w:cs="Arial"/>
                <w:b/>
                <w:sz w:val="24"/>
                <w:szCs w:val="24"/>
                <w:lang w:val="es-ES" w:eastAsia="es-ES"/>
              </w:rPr>
            </w:pPr>
            <w:r w:rsidRPr="001F3E04">
              <w:rPr>
                <w:rFonts w:ascii="Arial" w:eastAsia="Times New Roman" w:hAnsi="Arial" w:cs="Arial"/>
                <w:b/>
                <w:bCs/>
                <w:sz w:val="24"/>
                <w:szCs w:val="24"/>
                <w:lang w:val="es-ES" w:eastAsia="es-ES"/>
              </w:rPr>
              <w:t>VIANELLO</w:t>
            </w:r>
          </w:p>
        </w:tc>
        <w:tc>
          <w:tcPr>
            <w:tcW w:w="2327" w:type="pct"/>
            <w:vAlign w:val="center"/>
          </w:tcPr>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r w:rsidRPr="001F3E04">
              <w:rPr>
                <w:rFonts w:ascii="Arial" w:eastAsia="Times New Roman" w:hAnsi="Arial" w:cs="Arial"/>
                <w:b/>
                <w:bCs/>
                <w:sz w:val="24"/>
                <w:szCs w:val="24"/>
                <w:lang w:val="es-ES" w:eastAsia="es-ES"/>
              </w:rPr>
              <w:t>EL SECRETARIO EJECUTIVO Y SECRETARIO DE LA JUNTA GENERAL EJECUTIVA DEL INSTITUTO NACIONAL ELECTORAL</w:t>
            </w: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p>
          <w:p w:rsidR="001F3E04" w:rsidRPr="001F3E04" w:rsidRDefault="001F3E04" w:rsidP="001F3E04">
            <w:pPr>
              <w:spacing w:after="0" w:line="260" w:lineRule="exact"/>
              <w:ind w:left="70"/>
              <w:jc w:val="center"/>
              <w:rPr>
                <w:rFonts w:ascii="Arial" w:eastAsia="Times New Roman" w:hAnsi="Arial" w:cs="Arial"/>
                <w:b/>
                <w:bCs/>
                <w:sz w:val="24"/>
                <w:szCs w:val="24"/>
                <w:lang w:val="es-ES" w:eastAsia="es-ES"/>
              </w:rPr>
            </w:pPr>
            <w:r w:rsidRPr="001F3E04">
              <w:rPr>
                <w:rFonts w:ascii="Arial" w:eastAsia="Times New Roman" w:hAnsi="Arial" w:cs="Arial"/>
                <w:b/>
                <w:bCs/>
                <w:sz w:val="24"/>
                <w:szCs w:val="24"/>
                <w:lang w:val="es-ES" w:eastAsia="es-ES"/>
              </w:rPr>
              <w:t>LIC. EDMUNDO JACOBO</w:t>
            </w:r>
          </w:p>
          <w:p w:rsidR="001F3E04" w:rsidRPr="001F3E04" w:rsidRDefault="001F3E04" w:rsidP="001F3E04">
            <w:pPr>
              <w:spacing w:after="0" w:line="280" w:lineRule="exact"/>
              <w:ind w:left="709" w:hanging="709"/>
              <w:jc w:val="center"/>
              <w:rPr>
                <w:rFonts w:ascii="Arial" w:eastAsia="Times New Roman" w:hAnsi="Arial" w:cs="Arial"/>
                <w:b/>
                <w:bCs/>
                <w:sz w:val="24"/>
                <w:szCs w:val="24"/>
                <w:lang w:val="es-ES" w:eastAsia="es-ES"/>
              </w:rPr>
            </w:pPr>
            <w:r w:rsidRPr="001F3E04">
              <w:rPr>
                <w:rFonts w:ascii="Arial" w:eastAsia="Times New Roman" w:hAnsi="Arial" w:cs="Arial"/>
                <w:b/>
                <w:bCs/>
                <w:sz w:val="24"/>
                <w:szCs w:val="24"/>
                <w:lang w:val="es-ES" w:eastAsia="es-ES"/>
              </w:rPr>
              <w:t>MOLINA</w:t>
            </w:r>
          </w:p>
        </w:tc>
      </w:tr>
    </w:tbl>
    <w:p w:rsidR="001F3E04" w:rsidRPr="001F3E04" w:rsidRDefault="001F3E04" w:rsidP="001F3E04">
      <w:pPr>
        <w:autoSpaceDE w:val="0"/>
        <w:autoSpaceDN w:val="0"/>
        <w:adjustRightInd w:val="0"/>
        <w:spacing w:after="0" w:line="300" w:lineRule="exact"/>
        <w:jc w:val="both"/>
        <w:rPr>
          <w:rFonts w:ascii="Arial" w:eastAsia="Calibri" w:hAnsi="Arial" w:cs="Arial"/>
          <w:sz w:val="24"/>
          <w:szCs w:val="24"/>
          <w:lang w:eastAsia="es-ES"/>
        </w:rPr>
      </w:pPr>
    </w:p>
    <w:sectPr w:rsidR="001F3E04" w:rsidRPr="001F3E04" w:rsidSect="001F3E04">
      <w:footerReference w:type="even" r:id="rId7"/>
      <w:footerReference w:type="default" r:id="rId8"/>
      <w:pgSz w:w="12240" w:h="15840"/>
      <w:pgMar w:top="3288" w:right="1701" w:bottom="1417" w:left="1701" w:header="141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5F4A" w:rsidRDefault="00065F4A" w:rsidP="001F3E04">
      <w:pPr>
        <w:spacing w:after="0" w:line="240" w:lineRule="auto"/>
      </w:pPr>
      <w:r>
        <w:separator/>
      </w:r>
    </w:p>
  </w:endnote>
  <w:endnote w:type="continuationSeparator" w:id="0">
    <w:p w:rsidR="00065F4A" w:rsidRDefault="00065F4A" w:rsidP="001F3E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04" w:rsidRDefault="001F3E04" w:rsidP="009B3F4F">
    <w:pPr>
      <w:pStyle w:val="Piedepgina"/>
      <w:framePr w:wrap="around"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p w:rsidR="001F3E04" w:rsidRDefault="001F3E0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1793323082"/>
      <w:docPartObj>
        <w:docPartGallery w:val="Page Numbers (Bottom of Page)"/>
        <w:docPartUnique/>
      </w:docPartObj>
    </w:sdtPr>
    <w:sdtEndPr/>
    <w:sdtContent>
      <w:p w:rsidR="001F3E04" w:rsidRPr="001F3E04" w:rsidRDefault="001F3E04" w:rsidP="001F3E04">
        <w:pPr>
          <w:pStyle w:val="Piedepgina"/>
          <w:jc w:val="center"/>
          <w:rPr>
            <w:rFonts w:ascii="Arial" w:hAnsi="Arial" w:cs="Arial"/>
          </w:rPr>
        </w:pPr>
        <w:r w:rsidRPr="001F3E04">
          <w:rPr>
            <w:rFonts w:ascii="Arial" w:hAnsi="Arial" w:cs="Arial"/>
          </w:rPr>
          <w:fldChar w:fldCharType="begin"/>
        </w:r>
        <w:r w:rsidRPr="001F3E04">
          <w:rPr>
            <w:rFonts w:ascii="Arial" w:hAnsi="Arial" w:cs="Arial"/>
          </w:rPr>
          <w:instrText>PAGE   \* MERGEFORMAT</w:instrText>
        </w:r>
        <w:r w:rsidRPr="001F3E04">
          <w:rPr>
            <w:rFonts w:ascii="Arial" w:hAnsi="Arial" w:cs="Arial"/>
          </w:rPr>
          <w:fldChar w:fldCharType="separate"/>
        </w:r>
        <w:r w:rsidR="00DD0288" w:rsidRPr="00DD0288">
          <w:rPr>
            <w:rFonts w:ascii="Arial" w:hAnsi="Arial" w:cs="Arial"/>
            <w:noProof/>
            <w:lang w:val="es-ES"/>
          </w:rPr>
          <w:t>4</w:t>
        </w:r>
        <w:r w:rsidRPr="001F3E04">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5F4A" w:rsidRDefault="00065F4A" w:rsidP="001F3E04">
      <w:pPr>
        <w:spacing w:after="0" w:line="240" w:lineRule="auto"/>
      </w:pPr>
      <w:r>
        <w:separator/>
      </w:r>
    </w:p>
  </w:footnote>
  <w:footnote w:type="continuationSeparator" w:id="0">
    <w:p w:rsidR="00065F4A" w:rsidRDefault="00065F4A" w:rsidP="001F3E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64B1C54"/>
    <w:multiLevelType w:val="hybridMultilevel"/>
    <w:tmpl w:val="B31A59FC"/>
    <w:lvl w:ilvl="0" w:tplc="0AFCBD4C">
      <w:start w:val="1"/>
      <w:numFmt w:val="upperRoman"/>
      <w:lvlText w:val="%1."/>
      <w:lvlJc w:val="left"/>
      <w:pPr>
        <w:tabs>
          <w:tab w:val="num" w:pos="357"/>
        </w:tabs>
        <w:ind w:left="357" w:hanging="357"/>
      </w:pPr>
      <w:rPr>
        <w:rFonts w:hint="default"/>
        <w:b/>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6EC01BD5"/>
    <w:multiLevelType w:val="hybridMultilevel"/>
    <w:tmpl w:val="B412931A"/>
    <w:lvl w:ilvl="0" w:tplc="D1AE893C">
      <w:start w:val="1"/>
      <w:numFmt w:val="decimal"/>
      <w:lvlText w:val="%1."/>
      <w:lvlJc w:val="left"/>
      <w:pPr>
        <w:tabs>
          <w:tab w:val="num" w:pos="360"/>
        </w:tabs>
        <w:ind w:left="360" w:hanging="360"/>
      </w:pPr>
      <w:rPr>
        <w:b/>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053"/>
    <w:rsid w:val="0002237F"/>
    <w:rsid w:val="00065F4A"/>
    <w:rsid w:val="00080F5F"/>
    <w:rsid w:val="00111523"/>
    <w:rsid w:val="00170EF6"/>
    <w:rsid w:val="0019494E"/>
    <w:rsid w:val="001B5DED"/>
    <w:rsid w:val="001C0F96"/>
    <w:rsid w:val="001E3491"/>
    <w:rsid w:val="001F3E04"/>
    <w:rsid w:val="00203661"/>
    <w:rsid w:val="00305D66"/>
    <w:rsid w:val="0032490F"/>
    <w:rsid w:val="003718B1"/>
    <w:rsid w:val="00371AAC"/>
    <w:rsid w:val="00374AD5"/>
    <w:rsid w:val="00440030"/>
    <w:rsid w:val="00475D56"/>
    <w:rsid w:val="005070C1"/>
    <w:rsid w:val="0052436E"/>
    <w:rsid w:val="00536DC6"/>
    <w:rsid w:val="00553915"/>
    <w:rsid w:val="00620683"/>
    <w:rsid w:val="00632B2B"/>
    <w:rsid w:val="0065561E"/>
    <w:rsid w:val="00681081"/>
    <w:rsid w:val="007223F2"/>
    <w:rsid w:val="007277E4"/>
    <w:rsid w:val="00830191"/>
    <w:rsid w:val="00851F9B"/>
    <w:rsid w:val="008666F1"/>
    <w:rsid w:val="00900399"/>
    <w:rsid w:val="00915296"/>
    <w:rsid w:val="009B1269"/>
    <w:rsid w:val="00A4209B"/>
    <w:rsid w:val="00A861ED"/>
    <w:rsid w:val="00B22390"/>
    <w:rsid w:val="00B919A2"/>
    <w:rsid w:val="00BA5E2F"/>
    <w:rsid w:val="00C17BEC"/>
    <w:rsid w:val="00C26DBA"/>
    <w:rsid w:val="00C4124D"/>
    <w:rsid w:val="00D12A9E"/>
    <w:rsid w:val="00D752E7"/>
    <w:rsid w:val="00DD0288"/>
    <w:rsid w:val="00DE6061"/>
    <w:rsid w:val="00ED505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6277ED-03C7-47C7-9068-EA8B60D71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6061"/>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32B2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32B2B"/>
    <w:rPr>
      <w:rFonts w:ascii="Segoe UI" w:hAnsi="Segoe UI" w:cs="Segoe UI"/>
      <w:sz w:val="18"/>
      <w:szCs w:val="18"/>
    </w:rPr>
  </w:style>
  <w:style w:type="paragraph" w:styleId="Prrafodelista">
    <w:name w:val="List Paragraph"/>
    <w:basedOn w:val="Normal"/>
    <w:uiPriority w:val="34"/>
    <w:qFormat/>
    <w:rsid w:val="00B919A2"/>
    <w:pPr>
      <w:ind w:left="720"/>
      <w:contextualSpacing/>
    </w:pPr>
  </w:style>
  <w:style w:type="paragraph" w:styleId="Encabezado">
    <w:name w:val="header"/>
    <w:basedOn w:val="Normal"/>
    <w:link w:val="EncabezadoCar"/>
    <w:uiPriority w:val="99"/>
    <w:unhideWhenUsed/>
    <w:rsid w:val="001F3E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F3E04"/>
  </w:style>
  <w:style w:type="paragraph" w:styleId="Piedepgina">
    <w:name w:val="footer"/>
    <w:basedOn w:val="Normal"/>
    <w:link w:val="PiedepginaCar"/>
    <w:uiPriority w:val="99"/>
    <w:unhideWhenUsed/>
    <w:rsid w:val="001F3E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F3E04"/>
  </w:style>
  <w:style w:type="character" w:styleId="Nmerodepgina">
    <w:name w:val="page number"/>
    <w:basedOn w:val="Fuentedeprrafopredeter"/>
    <w:uiPriority w:val="99"/>
    <w:semiHidden/>
    <w:unhideWhenUsed/>
    <w:rsid w:val="001F3E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1137</Words>
  <Characters>6257</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jorge.romo@ine.mx</dc:creator>
  <cp:keywords/>
  <dc:description/>
  <cp:lastModifiedBy>SANTOS BASURTO SERGIO</cp:lastModifiedBy>
  <cp:revision>2</cp:revision>
  <cp:lastPrinted>2019-08-26T22:56:00Z</cp:lastPrinted>
  <dcterms:created xsi:type="dcterms:W3CDTF">2019-08-27T23:05:00Z</dcterms:created>
  <dcterms:modified xsi:type="dcterms:W3CDTF">2019-08-27T23:05:00Z</dcterms:modified>
</cp:coreProperties>
</file>