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3E52" w:rsidRDefault="00FF3E52" w:rsidP="00C1754C">
      <w:pPr>
        <w:spacing w:after="0" w:line="304" w:lineRule="exact"/>
        <w:ind w:left="-992" w:firstLine="1"/>
        <w:jc w:val="both"/>
        <w:rPr>
          <w:rFonts w:ascii="Arial" w:eastAsia="Times New Roman" w:hAnsi="Arial" w:cs="Arial"/>
          <w:b/>
          <w:bCs/>
          <w:sz w:val="28"/>
          <w:szCs w:val="24"/>
          <w:lang w:eastAsia="es-ES"/>
        </w:rPr>
      </w:pPr>
      <w:r>
        <w:rPr>
          <w:rFonts w:ascii="Arial" w:eastAsia="Times New Roman" w:hAnsi="Arial" w:cs="Arial"/>
          <w:b/>
          <w:bCs/>
          <w:sz w:val="28"/>
          <w:szCs w:val="24"/>
          <w:lang w:eastAsia="es-ES"/>
        </w:rPr>
        <w:t>INE/JGE</w:t>
      </w:r>
      <w:r w:rsidR="00C4077B">
        <w:rPr>
          <w:rFonts w:ascii="Arial" w:eastAsia="Times New Roman" w:hAnsi="Arial" w:cs="Arial"/>
          <w:b/>
          <w:bCs/>
          <w:sz w:val="28"/>
          <w:szCs w:val="24"/>
          <w:lang w:eastAsia="es-ES"/>
        </w:rPr>
        <w:t>140</w:t>
      </w:r>
      <w:r>
        <w:rPr>
          <w:rFonts w:ascii="Arial" w:eastAsia="Times New Roman" w:hAnsi="Arial" w:cs="Arial"/>
          <w:b/>
          <w:bCs/>
          <w:sz w:val="28"/>
          <w:szCs w:val="24"/>
          <w:lang w:eastAsia="es-ES"/>
        </w:rPr>
        <w:t>/2019</w:t>
      </w:r>
    </w:p>
    <w:p w:rsidR="00FF3E52" w:rsidRPr="00FF3E52" w:rsidRDefault="00FF3E52" w:rsidP="00C1754C">
      <w:pPr>
        <w:spacing w:after="0" w:line="304" w:lineRule="exact"/>
        <w:ind w:firstLine="1"/>
        <w:jc w:val="both"/>
        <w:rPr>
          <w:rFonts w:ascii="Arial" w:eastAsia="Times New Roman" w:hAnsi="Arial" w:cs="Arial"/>
          <w:b/>
          <w:bCs/>
          <w:sz w:val="24"/>
          <w:szCs w:val="24"/>
          <w:lang w:eastAsia="es-ES"/>
        </w:rPr>
      </w:pPr>
    </w:p>
    <w:p w:rsidR="00FF3E52" w:rsidRDefault="00FF3E52" w:rsidP="00C1754C">
      <w:pPr>
        <w:spacing w:after="0" w:line="304" w:lineRule="exact"/>
        <w:ind w:firstLine="1"/>
        <w:jc w:val="both"/>
        <w:rPr>
          <w:rFonts w:ascii="Arial" w:eastAsia="Times New Roman" w:hAnsi="Arial" w:cs="Arial"/>
          <w:b/>
          <w:bCs/>
          <w:sz w:val="24"/>
          <w:szCs w:val="24"/>
          <w:lang w:eastAsia="es-ES"/>
        </w:rPr>
      </w:pPr>
    </w:p>
    <w:p w:rsidR="00ED5053" w:rsidRPr="0093584F" w:rsidRDefault="00ED5053" w:rsidP="00C1754C">
      <w:pPr>
        <w:spacing w:after="0" w:line="304" w:lineRule="exact"/>
        <w:ind w:firstLine="1"/>
        <w:jc w:val="both"/>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 xml:space="preserve">ACUERDO DE LA JUNTA GENERAL EJECUTIVA DEL INSTITUTO NACIONAL ELECTORAL POR EL QUE SE DESIGNA A LA </w:t>
      </w:r>
      <w:r w:rsidR="00A34532">
        <w:rPr>
          <w:rFonts w:ascii="Arial" w:eastAsia="Times New Roman" w:hAnsi="Arial" w:cs="Arial"/>
          <w:b/>
          <w:bCs/>
          <w:sz w:val="24"/>
          <w:szCs w:val="24"/>
          <w:lang w:eastAsia="es-ES"/>
        </w:rPr>
        <w:t xml:space="preserve">DIRECCIÓN EJECUTIVA DE </w:t>
      </w:r>
      <w:r w:rsidR="0094511E">
        <w:rPr>
          <w:rFonts w:ascii="Arial" w:eastAsia="Times New Roman" w:hAnsi="Arial" w:cs="Arial"/>
          <w:b/>
          <w:bCs/>
          <w:sz w:val="24"/>
          <w:szCs w:val="24"/>
          <w:lang w:eastAsia="es-ES"/>
        </w:rPr>
        <w:t>PRERROGATIVAS Y PARTIDOS POLÍTICOS</w:t>
      </w:r>
      <w:r w:rsidR="00A34532">
        <w:rPr>
          <w:rFonts w:ascii="Arial" w:eastAsia="Times New Roman" w:hAnsi="Arial" w:cs="Arial"/>
          <w:b/>
          <w:bCs/>
          <w:sz w:val="24"/>
          <w:szCs w:val="24"/>
          <w:lang w:eastAsia="es-ES"/>
        </w:rPr>
        <w:t xml:space="preserve"> </w:t>
      </w:r>
      <w:r w:rsidR="001C0F96" w:rsidRPr="0093584F">
        <w:rPr>
          <w:rFonts w:ascii="Arial" w:eastAsia="Times New Roman" w:hAnsi="Arial" w:cs="Arial"/>
          <w:b/>
          <w:bCs/>
          <w:sz w:val="24"/>
          <w:szCs w:val="24"/>
          <w:lang w:eastAsia="es-ES"/>
        </w:rPr>
        <w:t>C</w:t>
      </w:r>
      <w:r w:rsidRPr="0093584F">
        <w:rPr>
          <w:rFonts w:ascii="Arial" w:eastAsia="Times New Roman" w:hAnsi="Arial" w:cs="Arial"/>
          <w:b/>
          <w:bCs/>
          <w:sz w:val="24"/>
          <w:szCs w:val="24"/>
          <w:lang w:eastAsia="es-ES"/>
        </w:rPr>
        <w:t>OMO EL ÓRGANO ENCARGADO DE SUSTANCIAR Y ELABORAR EL PROYECTO DE RESOLUCIÓN DEL RECURSO DE INCONFORMIDAD</w:t>
      </w:r>
      <w:r w:rsidR="00BA5E2F" w:rsidRPr="0093584F">
        <w:rPr>
          <w:rFonts w:ascii="Arial" w:eastAsia="Times New Roman" w:hAnsi="Arial" w:cs="Arial"/>
          <w:b/>
          <w:bCs/>
          <w:sz w:val="24"/>
          <w:szCs w:val="24"/>
          <w:lang w:eastAsia="es-ES"/>
        </w:rPr>
        <w:t xml:space="preserve"> </w:t>
      </w:r>
      <w:r w:rsidR="00D34D28" w:rsidRPr="0093584F">
        <w:rPr>
          <w:rFonts w:ascii="Arial" w:eastAsia="Calibri" w:hAnsi="Arial" w:cs="Arial"/>
          <w:b/>
          <w:bCs/>
          <w:sz w:val="24"/>
          <w:szCs w:val="24"/>
          <w:lang w:eastAsia="es-ES"/>
        </w:rPr>
        <w:t>INE/RI</w:t>
      </w:r>
      <w:r w:rsidR="00BA5E2F" w:rsidRPr="0093584F">
        <w:rPr>
          <w:rFonts w:ascii="Arial" w:eastAsia="Calibri" w:hAnsi="Arial" w:cs="Arial"/>
          <w:b/>
          <w:bCs/>
          <w:sz w:val="24"/>
          <w:szCs w:val="24"/>
          <w:lang w:eastAsia="es-ES"/>
        </w:rPr>
        <w:t>/1</w:t>
      </w:r>
      <w:r w:rsidR="0094511E">
        <w:rPr>
          <w:rFonts w:ascii="Arial" w:eastAsia="Calibri" w:hAnsi="Arial" w:cs="Arial"/>
          <w:b/>
          <w:bCs/>
          <w:sz w:val="24"/>
          <w:szCs w:val="24"/>
          <w:lang w:eastAsia="es-ES"/>
        </w:rPr>
        <w:t>0</w:t>
      </w:r>
      <w:r w:rsidR="00BA5E2F" w:rsidRPr="0093584F">
        <w:rPr>
          <w:rFonts w:ascii="Arial" w:eastAsia="Calibri" w:hAnsi="Arial" w:cs="Arial"/>
          <w:b/>
          <w:bCs/>
          <w:sz w:val="24"/>
          <w:szCs w:val="24"/>
          <w:lang w:eastAsia="es-ES"/>
        </w:rPr>
        <w:t>/2019</w:t>
      </w:r>
    </w:p>
    <w:p w:rsidR="00ED5053" w:rsidRPr="0093584F" w:rsidRDefault="00ED5053" w:rsidP="00C1754C">
      <w:pPr>
        <w:spacing w:after="0" w:line="304" w:lineRule="exact"/>
        <w:jc w:val="both"/>
        <w:rPr>
          <w:rFonts w:ascii="Arial" w:eastAsia="Times New Roman" w:hAnsi="Arial" w:cs="Arial"/>
          <w:b/>
          <w:bCs/>
          <w:sz w:val="24"/>
          <w:szCs w:val="24"/>
          <w:lang w:eastAsia="es-ES"/>
        </w:rPr>
      </w:pPr>
    </w:p>
    <w:p w:rsidR="00764C21" w:rsidRDefault="00764C21" w:rsidP="00C1754C">
      <w:pPr>
        <w:spacing w:after="0" w:line="304" w:lineRule="exact"/>
        <w:rPr>
          <w:rFonts w:ascii="Arial" w:eastAsia="Times New Roman" w:hAnsi="Arial" w:cs="Arial"/>
          <w:b/>
          <w:bCs/>
          <w:sz w:val="24"/>
          <w:szCs w:val="24"/>
          <w:lang w:eastAsia="es-ES"/>
        </w:rPr>
      </w:pPr>
    </w:p>
    <w:p w:rsidR="00ED5053" w:rsidRPr="0093584F" w:rsidRDefault="00ED5053" w:rsidP="00C1754C">
      <w:pPr>
        <w:spacing w:after="0" w:line="304" w:lineRule="exact"/>
        <w:jc w:val="center"/>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A N T E C E D E N T E S</w:t>
      </w:r>
    </w:p>
    <w:p w:rsidR="00ED5053" w:rsidRPr="0093584F" w:rsidRDefault="00ED5053" w:rsidP="00C1754C">
      <w:pPr>
        <w:spacing w:after="0" w:line="304" w:lineRule="exact"/>
        <w:jc w:val="both"/>
        <w:rPr>
          <w:rFonts w:ascii="Arial" w:eastAsia="Calibri" w:hAnsi="Arial" w:cs="Arial"/>
          <w:sz w:val="24"/>
          <w:szCs w:val="24"/>
          <w:lang w:val="es-ES" w:eastAsia="es-ES"/>
        </w:rPr>
      </w:pPr>
    </w:p>
    <w:p w:rsidR="00D53DFE" w:rsidRPr="0096144C" w:rsidRDefault="00D53DFE" w:rsidP="00C1754C">
      <w:pPr>
        <w:spacing w:after="0" w:line="304" w:lineRule="exact"/>
        <w:jc w:val="both"/>
        <w:rPr>
          <w:rFonts w:ascii="Arial" w:eastAsia="Calibri" w:hAnsi="Arial" w:cs="Arial"/>
          <w:sz w:val="24"/>
          <w:szCs w:val="24"/>
          <w:lang w:val="es-ES" w:eastAsia="es-ES"/>
        </w:rPr>
      </w:pPr>
    </w:p>
    <w:p w:rsidR="00046BF1" w:rsidRDefault="008666F1" w:rsidP="00C1754C">
      <w:pPr>
        <w:numPr>
          <w:ilvl w:val="0"/>
          <w:numId w:val="2"/>
        </w:numPr>
        <w:tabs>
          <w:tab w:val="clear" w:pos="357"/>
        </w:tabs>
        <w:spacing w:after="0" w:line="304" w:lineRule="exact"/>
        <w:ind w:left="567" w:hanging="567"/>
        <w:jc w:val="both"/>
        <w:rPr>
          <w:rFonts w:ascii="Arial" w:eastAsia="Calibri" w:hAnsi="Arial" w:cs="Arial"/>
          <w:sz w:val="24"/>
          <w:szCs w:val="24"/>
          <w:lang w:val="es-ES" w:eastAsia="es-ES"/>
        </w:rPr>
      </w:pPr>
      <w:r w:rsidRPr="0096144C">
        <w:rPr>
          <w:rFonts w:ascii="Arial" w:eastAsia="Calibri" w:hAnsi="Arial" w:cs="Arial"/>
          <w:sz w:val="24"/>
          <w:szCs w:val="24"/>
          <w:lang w:val="es-ES" w:eastAsia="es-ES"/>
        </w:rPr>
        <w:t xml:space="preserve">El </w:t>
      </w:r>
      <w:r w:rsidR="00046BF1">
        <w:rPr>
          <w:rFonts w:ascii="Arial" w:eastAsia="Calibri" w:hAnsi="Arial" w:cs="Arial"/>
          <w:sz w:val="24"/>
          <w:szCs w:val="24"/>
          <w:lang w:val="es-ES" w:eastAsia="es-ES"/>
        </w:rPr>
        <w:t>2</w:t>
      </w:r>
      <w:r w:rsidR="00B16C45" w:rsidRPr="0096144C">
        <w:rPr>
          <w:rFonts w:ascii="Arial" w:eastAsia="Calibri" w:hAnsi="Arial" w:cs="Arial"/>
          <w:sz w:val="24"/>
          <w:szCs w:val="24"/>
          <w:lang w:val="es-ES" w:eastAsia="es-ES"/>
        </w:rPr>
        <w:t>3</w:t>
      </w:r>
      <w:r w:rsidRPr="0096144C">
        <w:rPr>
          <w:rFonts w:ascii="Arial" w:eastAsia="Calibri" w:hAnsi="Arial" w:cs="Arial"/>
          <w:sz w:val="24"/>
          <w:szCs w:val="24"/>
          <w:lang w:val="es-ES" w:eastAsia="es-ES"/>
        </w:rPr>
        <w:t xml:space="preserve"> de </w:t>
      </w:r>
      <w:r w:rsidR="00046BF1">
        <w:rPr>
          <w:rFonts w:ascii="Arial" w:eastAsia="Calibri" w:hAnsi="Arial" w:cs="Arial"/>
          <w:sz w:val="24"/>
          <w:szCs w:val="24"/>
          <w:lang w:val="es-ES" w:eastAsia="es-ES"/>
        </w:rPr>
        <w:t>mayo</w:t>
      </w:r>
      <w:r w:rsidRPr="0096144C">
        <w:rPr>
          <w:rFonts w:ascii="Arial" w:eastAsia="Calibri" w:hAnsi="Arial" w:cs="Arial"/>
          <w:sz w:val="24"/>
          <w:szCs w:val="24"/>
          <w:lang w:val="es-ES" w:eastAsia="es-ES"/>
        </w:rPr>
        <w:t xml:space="preserve"> de 2019,</w:t>
      </w:r>
      <w:r w:rsidR="00361118" w:rsidRPr="0096144C">
        <w:rPr>
          <w:rFonts w:ascii="Arial" w:eastAsia="Calibri" w:hAnsi="Arial" w:cs="Arial"/>
          <w:sz w:val="24"/>
          <w:szCs w:val="24"/>
          <w:lang w:val="es-ES" w:eastAsia="es-ES"/>
        </w:rPr>
        <w:t xml:space="preserve"> </w:t>
      </w:r>
      <w:r w:rsidR="00046BF1">
        <w:rPr>
          <w:rFonts w:ascii="Arial" w:eastAsia="Calibri" w:hAnsi="Arial" w:cs="Arial"/>
          <w:sz w:val="24"/>
          <w:szCs w:val="24"/>
          <w:lang w:val="es-ES" w:eastAsia="es-ES"/>
        </w:rPr>
        <w:t xml:space="preserve">se notificó a </w:t>
      </w:r>
      <w:r w:rsidR="008E2573">
        <w:rPr>
          <w:rFonts w:ascii="Arial" w:eastAsia="Calibri" w:hAnsi="Arial" w:cs="Arial"/>
          <w:sz w:val="24"/>
          <w:szCs w:val="24"/>
          <w:highlight w:val="black"/>
          <w:lang w:val="es-ES" w:eastAsia="es-ES"/>
        </w:rPr>
        <w:t>Luis Arturo Carrillo Velasco</w:t>
      </w:r>
      <w:r w:rsidR="00046BF1">
        <w:rPr>
          <w:rFonts w:ascii="Arial" w:eastAsia="Calibri" w:hAnsi="Arial" w:cs="Arial"/>
          <w:sz w:val="24"/>
          <w:szCs w:val="24"/>
          <w:lang w:val="es-ES" w:eastAsia="es-ES"/>
        </w:rPr>
        <w:t>,</w:t>
      </w:r>
      <w:r w:rsidR="00046BF1">
        <w:rPr>
          <w:rFonts w:ascii="Arial" w:eastAsia="Calibri" w:hAnsi="Arial" w:cs="Arial"/>
          <w:sz w:val="24"/>
          <w:szCs w:val="24"/>
          <w:lang w:val="es-ES" w:eastAsia="es-ES"/>
        </w:rPr>
        <w:t xml:space="preserve"> la resolución del procedimiento laboral disciplinario INE/DEA/PLD/JDE16-CDMX/032/2018, en la cual el Secretario Ejecutivo determinó imponerle la medida disciplinaria de destitución.</w:t>
      </w:r>
    </w:p>
    <w:p w:rsidR="00FF3E52" w:rsidRDefault="00FF3E52" w:rsidP="00D34F12">
      <w:pPr>
        <w:spacing w:after="0" w:line="304" w:lineRule="exact"/>
        <w:jc w:val="both"/>
        <w:rPr>
          <w:rFonts w:ascii="Arial" w:eastAsia="Calibri" w:hAnsi="Arial" w:cs="Arial"/>
          <w:sz w:val="24"/>
          <w:szCs w:val="24"/>
          <w:lang w:val="es-ES" w:eastAsia="es-ES"/>
        </w:rPr>
      </w:pPr>
    </w:p>
    <w:p w:rsidR="00046BF1" w:rsidRDefault="00EA08A9" w:rsidP="00C1754C">
      <w:pPr>
        <w:numPr>
          <w:ilvl w:val="0"/>
          <w:numId w:val="2"/>
        </w:numPr>
        <w:tabs>
          <w:tab w:val="clear" w:pos="357"/>
        </w:tabs>
        <w:spacing w:after="0" w:line="304" w:lineRule="exact"/>
        <w:ind w:left="567" w:hanging="567"/>
        <w:jc w:val="both"/>
        <w:rPr>
          <w:rFonts w:ascii="Arial" w:eastAsia="Calibri" w:hAnsi="Arial" w:cs="Arial"/>
          <w:sz w:val="24"/>
          <w:szCs w:val="24"/>
          <w:lang w:val="es-ES" w:eastAsia="es-ES"/>
        </w:rPr>
      </w:pPr>
      <w:r>
        <w:rPr>
          <w:rFonts w:ascii="Arial" w:eastAsia="Calibri" w:hAnsi="Arial" w:cs="Arial"/>
          <w:sz w:val="24"/>
          <w:szCs w:val="24"/>
          <w:lang w:val="es-ES" w:eastAsia="es-ES"/>
        </w:rPr>
        <w:t xml:space="preserve">Inconforme con la determinación, el 6 de junio de 2019, </w:t>
      </w:r>
      <w:r w:rsidR="008E2573">
        <w:rPr>
          <w:rFonts w:ascii="Arial" w:eastAsia="Calibri" w:hAnsi="Arial" w:cs="Arial"/>
          <w:sz w:val="24"/>
          <w:szCs w:val="24"/>
          <w:highlight w:val="black"/>
          <w:lang w:val="es-ES" w:eastAsia="es-ES"/>
        </w:rPr>
        <w:t>Luis Arturo Carrillo Velasco</w:t>
      </w:r>
      <w:r w:rsidR="008E2573">
        <w:rPr>
          <w:rFonts w:ascii="Arial" w:eastAsia="Calibri" w:hAnsi="Arial" w:cs="Arial"/>
          <w:sz w:val="24"/>
          <w:szCs w:val="24"/>
          <w:lang w:val="es-ES" w:eastAsia="es-ES"/>
        </w:rPr>
        <w:t xml:space="preserve"> </w:t>
      </w:r>
      <w:r>
        <w:rPr>
          <w:rFonts w:ascii="Arial" w:eastAsia="Calibri" w:hAnsi="Arial" w:cs="Arial"/>
          <w:sz w:val="24"/>
          <w:szCs w:val="24"/>
          <w:lang w:val="es-ES" w:eastAsia="es-ES"/>
        </w:rPr>
        <w:t xml:space="preserve"> inte</w:t>
      </w:r>
      <w:r w:rsidR="00FF3E52">
        <w:rPr>
          <w:rFonts w:ascii="Arial" w:eastAsia="Calibri" w:hAnsi="Arial" w:cs="Arial"/>
          <w:sz w:val="24"/>
          <w:szCs w:val="24"/>
          <w:lang w:val="es-ES" w:eastAsia="es-ES"/>
        </w:rPr>
        <w:t>rpuso recurso de inconformidad.</w:t>
      </w:r>
    </w:p>
    <w:p w:rsidR="00FF3E52" w:rsidRDefault="00FF3E52" w:rsidP="00C1754C">
      <w:pPr>
        <w:spacing w:after="0" w:line="304" w:lineRule="exact"/>
        <w:jc w:val="both"/>
        <w:rPr>
          <w:rFonts w:ascii="Arial" w:eastAsia="Calibri" w:hAnsi="Arial" w:cs="Arial"/>
          <w:sz w:val="24"/>
          <w:szCs w:val="24"/>
          <w:lang w:val="es-ES" w:eastAsia="es-ES"/>
        </w:rPr>
      </w:pPr>
    </w:p>
    <w:p w:rsidR="00EE4492" w:rsidRDefault="00EA08A9" w:rsidP="00C1754C">
      <w:pPr>
        <w:numPr>
          <w:ilvl w:val="0"/>
          <w:numId w:val="2"/>
        </w:numPr>
        <w:tabs>
          <w:tab w:val="clear" w:pos="357"/>
        </w:tabs>
        <w:spacing w:after="0" w:line="304" w:lineRule="exact"/>
        <w:ind w:left="567" w:hanging="567"/>
        <w:jc w:val="both"/>
        <w:rPr>
          <w:rFonts w:ascii="Arial" w:eastAsia="Calibri" w:hAnsi="Arial" w:cs="Arial"/>
          <w:sz w:val="24"/>
          <w:szCs w:val="24"/>
          <w:lang w:val="es-ES" w:eastAsia="es-ES"/>
        </w:rPr>
      </w:pPr>
      <w:r>
        <w:rPr>
          <w:rFonts w:ascii="Arial" w:eastAsia="Calibri" w:hAnsi="Arial" w:cs="Arial"/>
          <w:sz w:val="24"/>
          <w:szCs w:val="24"/>
          <w:lang w:val="es-ES" w:eastAsia="es-ES"/>
        </w:rPr>
        <w:t xml:space="preserve">El 20 de junio de 2019, </w:t>
      </w:r>
      <w:r w:rsidR="00FF3E52">
        <w:rPr>
          <w:rFonts w:ascii="Arial" w:eastAsia="Calibri" w:hAnsi="Arial" w:cs="Arial"/>
          <w:sz w:val="24"/>
          <w:szCs w:val="24"/>
          <w:lang w:val="es-ES" w:eastAsia="es-ES"/>
        </w:rPr>
        <w:t>mediante Acuerdo</w:t>
      </w:r>
      <w:r w:rsidR="0065496D">
        <w:rPr>
          <w:rFonts w:ascii="Arial" w:eastAsia="Calibri" w:hAnsi="Arial" w:cs="Arial"/>
          <w:sz w:val="24"/>
          <w:szCs w:val="24"/>
          <w:lang w:val="es-ES" w:eastAsia="es-ES"/>
        </w:rPr>
        <w:t xml:space="preserve"> INE/JGE110/2019, </w:t>
      </w:r>
      <w:r>
        <w:rPr>
          <w:rFonts w:ascii="Arial" w:eastAsia="Calibri" w:hAnsi="Arial" w:cs="Arial"/>
          <w:sz w:val="24"/>
          <w:szCs w:val="24"/>
          <w:lang w:val="es-ES" w:eastAsia="es-ES"/>
        </w:rPr>
        <w:t>esta Junta</w:t>
      </w:r>
      <w:r w:rsidR="0065496D">
        <w:rPr>
          <w:rFonts w:ascii="Arial" w:eastAsia="Calibri" w:hAnsi="Arial" w:cs="Arial"/>
          <w:sz w:val="24"/>
          <w:szCs w:val="24"/>
          <w:lang w:val="es-ES" w:eastAsia="es-ES"/>
        </w:rPr>
        <w:t xml:space="preserve"> designó a la Dirección Ejecutiva de Administración como el órgano encargado de sustanciar y elaborar el </w:t>
      </w:r>
      <w:r w:rsidR="00FF3E52">
        <w:rPr>
          <w:rFonts w:ascii="Arial" w:eastAsia="Calibri" w:hAnsi="Arial" w:cs="Arial"/>
          <w:sz w:val="24"/>
          <w:szCs w:val="24"/>
          <w:lang w:val="es-ES" w:eastAsia="es-ES"/>
        </w:rPr>
        <w:t>Proyecto de Resolución</w:t>
      </w:r>
      <w:r w:rsidR="0065496D">
        <w:rPr>
          <w:rFonts w:ascii="Arial" w:eastAsia="Calibri" w:hAnsi="Arial" w:cs="Arial"/>
          <w:sz w:val="24"/>
          <w:szCs w:val="24"/>
          <w:lang w:val="es-ES" w:eastAsia="es-ES"/>
        </w:rPr>
        <w:t xml:space="preserve"> del recurso de inconformidad de mérito.</w:t>
      </w:r>
    </w:p>
    <w:p w:rsidR="00FF3E52" w:rsidRDefault="00FF3E52" w:rsidP="00C1754C">
      <w:pPr>
        <w:spacing w:after="0" w:line="304" w:lineRule="exact"/>
        <w:jc w:val="both"/>
        <w:rPr>
          <w:rFonts w:ascii="Arial" w:eastAsia="Calibri" w:hAnsi="Arial" w:cs="Arial"/>
          <w:sz w:val="24"/>
          <w:szCs w:val="24"/>
          <w:lang w:val="es-ES" w:eastAsia="es-ES"/>
        </w:rPr>
      </w:pPr>
    </w:p>
    <w:p w:rsidR="008C2BCD" w:rsidRDefault="00EE4492" w:rsidP="00C1754C">
      <w:pPr>
        <w:numPr>
          <w:ilvl w:val="0"/>
          <w:numId w:val="2"/>
        </w:numPr>
        <w:tabs>
          <w:tab w:val="clear" w:pos="357"/>
        </w:tabs>
        <w:spacing w:after="0" w:line="304" w:lineRule="exact"/>
        <w:ind w:left="567" w:hanging="567"/>
        <w:jc w:val="both"/>
        <w:rPr>
          <w:rFonts w:ascii="Arial" w:eastAsia="Calibri" w:hAnsi="Arial" w:cs="Arial"/>
          <w:sz w:val="24"/>
          <w:szCs w:val="24"/>
          <w:lang w:val="es-ES" w:eastAsia="es-ES"/>
        </w:rPr>
      </w:pPr>
      <w:r>
        <w:rPr>
          <w:rFonts w:ascii="Arial" w:eastAsia="Calibri" w:hAnsi="Arial" w:cs="Arial"/>
          <w:sz w:val="24"/>
          <w:szCs w:val="24"/>
          <w:lang w:val="es-ES" w:eastAsia="es-ES"/>
        </w:rPr>
        <w:t xml:space="preserve">El </w:t>
      </w:r>
      <w:r w:rsidR="00952ABB">
        <w:rPr>
          <w:rFonts w:ascii="Arial" w:eastAsia="Calibri" w:hAnsi="Arial" w:cs="Arial"/>
          <w:sz w:val="24"/>
          <w:szCs w:val="24"/>
          <w:lang w:val="es-ES" w:eastAsia="es-ES"/>
        </w:rPr>
        <w:t>24 de junio de 2019, el Director de Asuntos Laborales de la Dirección Jurídica,</w:t>
      </w:r>
      <w:r w:rsidR="008C2BCD">
        <w:rPr>
          <w:rFonts w:ascii="Arial" w:eastAsia="Calibri" w:hAnsi="Arial" w:cs="Arial"/>
          <w:sz w:val="24"/>
          <w:szCs w:val="24"/>
          <w:lang w:val="es-ES" w:eastAsia="es-ES"/>
        </w:rPr>
        <w:t xml:space="preserve"> por instrucciones del Director Jurídico,</w:t>
      </w:r>
      <w:r w:rsidR="00952ABB">
        <w:rPr>
          <w:rFonts w:ascii="Arial" w:eastAsia="Calibri" w:hAnsi="Arial" w:cs="Arial"/>
          <w:sz w:val="24"/>
          <w:szCs w:val="24"/>
          <w:lang w:val="es-ES" w:eastAsia="es-ES"/>
        </w:rPr>
        <w:t xml:space="preserve"> remitió las constancias </w:t>
      </w:r>
      <w:r w:rsidR="004045EF">
        <w:rPr>
          <w:rFonts w:ascii="Arial" w:eastAsia="Calibri" w:hAnsi="Arial" w:cs="Arial"/>
          <w:sz w:val="24"/>
          <w:szCs w:val="24"/>
          <w:lang w:val="es-ES" w:eastAsia="es-ES"/>
        </w:rPr>
        <w:t xml:space="preserve">originales </w:t>
      </w:r>
      <w:r w:rsidR="00A72DC3">
        <w:rPr>
          <w:rFonts w:ascii="Arial" w:eastAsia="Calibri" w:hAnsi="Arial" w:cs="Arial"/>
          <w:sz w:val="24"/>
          <w:szCs w:val="24"/>
          <w:lang w:val="es-ES" w:eastAsia="es-ES"/>
        </w:rPr>
        <w:t>del recurso</w:t>
      </w:r>
      <w:r w:rsidR="004045EF">
        <w:rPr>
          <w:rFonts w:ascii="Arial" w:eastAsia="Calibri" w:hAnsi="Arial" w:cs="Arial"/>
          <w:sz w:val="24"/>
          <w:szCs w:val="24"/>
          <w:lang w:val="es-ES" w:eastAsia="es-ES"/>
        </w:rPr>
        <w:t xml:space="preserve"> </w:t>
      </w:r>
      <w:r w:rsidR="00A72DC3" w:rsidRPr="00A72DC3">
        <w:rPr>
          <w:rFonts w:ascii="Arial" w:eastAsia="Calibri" w:hAnsi="Arial" w:cs="Arial"/>
          <w:sz w:val="24"/>
          <w:szCs w:val="24"/>
          <w:lang w:val="es-ES" w:eastAsia="es-ES"/>
        </w:rPr>
        <w:t>INE/RI/10/2019</w:t>
      </w:r>
      <w:r w:rsidR="00A72DC3">
        <w:rPr>
          <w:rFonts w:ascii="Arial" w:eastAsia="Calibri" w:hAnsi="Arial" w:cs="Arial"/>
          <w:sz w:val="24"/>
          <w:szCs w:val="24"/>
          <w:lang w:val="es-ES" w:eastAsia="es-ES"/>
        </w:rPr>
        <w:t xml:space="preserve">, así como </w:t>
      </w:r>
      <w:r w:rsidR="00E26164">
        <w:rPr>
          <w:rFonts w:ascii="Arial" w:eastAsia="Calibri" w:hAnsi="Arial" w:cs="Arial"/>
          <w:sz w:val="24"/>
          <w:szCs w:val="24"/>
          <w:lang w:val="es-ES" w:eastAsia="es-ES"/>
        </w:rPr>
        <w:t>del procedimiento laboral disciplinario INE/DEA/PLD/JDE16-CDMX/032/2018.</w:t>
      </w:r>
    </w:p>
    <w:p w:rsidR="00FF3E52" w:rsidRDefault="00FF3E52" w:rsidP="00C1754C">
      <w:pPr>
        <w:spacing w:after="0" w:line="304" w:lineRule="exact"/>
        <w:jc w:val="both"/>
        <w:rPr>
          <w:rFonts w:ascii="Arial" w:eastAsia="Calibri" w:hAnsi="Arial" w:cs="Arial"/>
          <w:sz w:val="24"/>
          <w:szCs w:val="24"/>
          <w:lang w:val="es-ES" w:eastAsia="es-ES"/>
        </w:rPr>
      </w:pPr>
    </w:p>
    <w:p w:rsidR="00ED5053" w:rsidRPr="00F06FD6" w:rsidRDefault="008C2BCD" w:rsidP="00C1754C">
      <w:pPr>
        <w:numPr>
          <w:ilvl w:val="0"/>
          <w:numId w:val="2"/>
        </w:numPr>
        <w:tabs>
          <w:tab w:val="clear" w:pos="357"/>
        </w:tabs>
        <w:spacing w:after="0" w:line="304" w:lineRule="exact"/>
        <w:ind w:left="567" w:hanging="567"/>
        <w:jc w:val="both"/>
        <w:rPr>
          <w:rFonts w:ascii="Arial" w:eastAsia="Calibri" w:hAnsi="Arial" w:cs="Arial"/>
          <w:sz w:val="24"/>
          <w:szCs w:val="24"/>
          <w:lang w:val="es-ES" w:eastAsia="es-ES"/>
        </w:rPr>
      </w:pPr>
      <w:r>
        <w:rPr>
          <w:rFonts w:ascii="Arial" w:eastAsia="Calibri" w:hAnsi="Arial" w:cs="Arial"/>
          <w:sz w:val="24"/>
          <w:szCs w:val="24"/>
          <w:lang w:val="es-ES" w:eastAsia="es-ES"/>
        </w:rPr>
        <w:t xml:space="preserve">El 9 de julio de 2019, </w:t>
      </w:r>
      <w:r w:rsidR="00E602E2">
        <w:rPr>
          <w:rFonts w:ascii="Arial" w:eastAsia="Calibri" w:hAnsi="Arial" w:cs="Arial"/>
          <w:sz w:val="24"/>
          <w:szCs w:val="24"/>
          <w:lang w:val="es-ES" w:eastAsia="es-ES"/>
        </w:rPr>
        <w:t>el Direc</w:t>
      </w:r>
      <w:r w:rsidR="00441A7C">
        <w:rPr>
          <w:rFonts w:ascii="Arial" w:eastAsia="Calibri" w:hAnsi="Arial" w:cs="Arial"/>
          <w:sz w:val="24"/>
          <w:szCs w:val="24"/>
          <w:lang w:val="es-ES" w:eastAsia="es-ES"/>
        </w:rPr>
        <w:t xml:space="preserve">tor Ejecutivo de Administración, mediante oficio INE/DEA/4380/2019, </w:t>
      </w:r>
      <w:r w:rsidR="001E0298">
        <w:rPr>
          <w:rFonts w:ascii="Arial" w:eastAsia="Calibri" w:hAnsi="Arial" w:cs="Arial"/>
          <w:sz w:val="24"/>
          <w:szCs w:val="24"/>
          <w:lang w:val="es-ES" w:eastAsia="es-ES"/>
        </w:rPr>
        <w:t xml:space="preserve">solicitó al Director Jurídico someter a consideración de esta Junta, </w:t>
      </w:r>
      <w:r w:rsidR="008E17A3">
        <w:rPr>
          <w:rFonts w:ascii="Arial" w:eastAsia="Calibri" w:hAnsi="Arial" w:cs="Arial"/>
          <w:sz w:val="24"/>
          <w:szCs w:val="24"/>
          <w:lang w:val="es-ES" w:eastAsia="es-ES"/>
        </w:rPr>
        <w:t>la designación de diverso órgano</w:t>
      </w:r>
      <w:r w:rsidR="004A4DC9">
        <w:rPr>
          <w:rFonts w:ascii="Arial" w:eastAsia="Calibri" w:hAnsi="Arial" w:cs="Arial"/>
          <w:sz w:val="24"/>
          <w:szCs w:val="24"/>
          <w:lang w:val="es-ES" w:eastAsia="es-ES"/>
        </w:rPr>
        <w:t xml:space="preserve"> para sustanciar y resolver</w:t>
      </w:r>
      <w:r w:rsidR="008E17A3">
        <w:rPr>
          <w:rFonts w:ascii="Arial" w:eastAsia="Calibri" w:hAnsi="Arial" w:cs="Arial"/>
          <w:sz w:val="24"/>
          <w:szCs w:val="24"/>
          <w:lang w:val="es-ES" w:eastAsia="es-ES"/>
        </w:rPr>
        <w:t xml:space="preserve">, toda vez que </w:t>
      </w:r>
      <w:r w:rsidR="00035651">
        <w:rPr>
          <w:rFonts w:ascii="Arial" w:eastAsia="Calibri" w:hAnsi="Arial" w:cs="Arial"/>
          <w:sz w:val="24"/>
          <w:szCs w:val="24"/>
          <w:lang w:val="es-ES" w:eastAsia="es-ES"/>
        </w:rPr>
        <w:t>esa Dirección fungió como autoridad instructora en el procedimiento laboral disciplinario</w:t>
      </w:r>
      <w:r w:rsidR="00602139">
        <w:rPr>
          <w:rFonts w:ascii="Arial" w:eastAsia="Calibri" w:hAnsi="Arial" w:cs="Arial"/>
          <w:sz w:val="24"/>
          <w:szCs w:val="24"/>
          <w:lang w:val="es-ES" w:eastAsia="es-ES"/>
        </w:rPr>
        <w:t xml:space="preserve"> en el que se </w:t>
      </w:r>
      <w:r w:rsidR="00FF3E52">
        <w:rPr>
          <w:rFonts w:ascii="Arial" w:eastAsia="Calibri" w:hAnsi="Arial" w:cs="Arial"/>
          <w:sz w:val="24"/>
          <w:szCs w:val="24"/>
          <w:lang w:val="es-ES" w:eastAsia="es-ES"/>
        </w:rPr>
        <w:t>emitió la Resolución</w:t>
      </w:r>
      <w:r w:rsidR="00602139">
        <w:rPr>
          <w:rFonts w:ascii="Arial" w:eastAsia="Calibri" w:hAnsi="Arial" w:cs="Arial"/>
          <w:sz w:val="24"/>
          <w:szCs w:val="24"/>
          <w:lang w:val="es-ES" w:eastAsia="es-ES"/>
        </w:rPr>
        <w:t xml:space="preserve"> materia de imp</w:t>
      </w:r>
      <w:r w:rsidR="00F06FD6">
        <w:rPr>
          <w:rFonts w:ascii="Arial" w:eastAsia="Calibri" w:hAnsi="Arial" w:cs="Arial"/>
          <w:sz w:val="24"/>
          <w:szCs w:val="24"/>
          <w:lang w:val="es-ES" w:eastAsia="es-ES"/>
        </w:rPr>
        <w:t xml:space="preserve">ugnación </w:t>
      </w:r>
      <w:r w:rsidR="00F06FD6">
        <w:rPr>
          <w:rFonts w:ascii="Arial" w:eastAsia="Calibri" w:hAnsi="Arial" w:cs="Arial"/>
          <w:sz w:val="24"/>
          <w:szCs w:val="24"/>
          <w:lang w:val="es-ES" w:eastAsia="es-ES"/>
        </w:rPr>
        <w:lastRenderedPageBreak/>
        <w:t>en el presente recurso</w:t>
      </w:r>
      <w:r w:rsidR="00510BB5" w:rsidRPr="00F06FD6">
        <w:rPr>
          <w:rFonts w:ascii="Arial" w:eastAsia="Calibri" w:hAnsi="Arial" w:cs="Arial"/>
          <w:sz w:val="24"/>
          <w:szCs w:val="24"/>
          <w:lang w:val="es-ES" w:eastAsia="es-ES"/>
        </w:rPr>
        <w:t xml:space="preserve">, por lo que </w:t>
      </w:r>
      <w:r w:rsidR="00F06FD6">
        <w:rPr>
          <w:rFonts w:ascii="Arial" w:eastAsia="Calibri" w:hAnsi="Arial" w:cs="Arial"/>
          <w:sz w:val="24"/>
          <w:szCs w:val="24"/>
          <w:lang w:val="es-ES" w:eastAsia="es-ES"/>
        </w:rPr>
        <w:t>devolvió las constancias originales tanto del recurso como del procedimiento señalado</w:t>
      </w:r>
      <w:r w:rsidR="00526FB3" w:rsidRPr="00F06FD6">
        <w:rPr>
          <w:rFonts w:ascii="Arial" w:eastAsia="Calibri" w:hAnsi="Arial" w:cs="Arial"/>
          <w:sz w:val="24"/>
          <w:szCs w:val="24"/>
          <w:lang w:val="es-ES" w:eastAsia="es-ES"/>
        </w:rPr>
        <w:t>.</w:t>
      </w:r>
    </w:p>
    <w:p w:rsidR="00526FB3" w:rsidRDefault="00526FB3" w:rsidP="00C1754C">
      <w:pPr>
        <w:spacing w:after="0" w:line="304" w:lineRule="exact"/>
        <w:jc w:val="both"/>
        <w:rPr>
          <w:rFonts w:ascii="Arial" w:eastAsia="Calibri" w:hAnsi="Arial" w:cs="Arial"/>
          <w:sz w:val="24"/>
          <w:szCs w:val="24"/>
          <w:lang w:val="es-ES" w:eastAsia="es-ES"/>
        </w:rPr>
      </w:pPr>
    </w:p>
    <w:p w:rsidR="00FF3E52" w:rsidRPr="00526FB3" w:rsidRDefault="00FF3E52" w:rsidP="00C1754C">
      <w:pPr>
        <w:spacing w:after="0" w:line="304" w:lineRule="exact"/>
        <w:jc w:val="both"/>
        <w:rPr>
          <w:rFonts w:ascii="Arial" w:eastAsia="Calibri" w:hAnsi="Arial" w:cs="Arial"/>
          <w:sz w:val="24"/>
          <w:szCs w:val="24"/>
          <w:lang w:val="es-ES" w:eastAsia="es-ES"/>
        </w:rPr>
      </w:pPr>
    </w:p>
    <w:p w:rsidR="00ED5053" w:rsidRPr="0093584F" w:rsidRDefault="00ED5053" w:rsidP="00C1754C">
      <w:pPr>
        <w:spacing w:after="0" w:line="304" w:lineRule="exact"/>
        <w:jc w:val="center"/>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C O N S I D E R A N D O</w:t>
      </w:r>
    </w:p>
    <w:p w:rsidR="00ED5053" w:rsidRDefault="00ED5053" w:rsidP="00C1754C">
      <w:pPr>
        <w:spacing w:after="0" w:line="304" w:lineRule="exact"/>
        <w:jc w:val="both"/>
        <w:rPr>
          <w:rFonts w:ascii="Arial" w:eastAsia="Calibri" w:hAnsi="Arial" w:cs="Arial"/>
          <w:sz w:val="24"/>
          <w:szCs w:val="24"/>
          <w:lang w:eastAsia="es-ES"/>
        </w:rPr>
      </w:pPr>
    </w:p>
    <w:p w:rsidR="00FF3E52" w:rsidRPr="0093584F" w:rsidRDefault="00FF3E52" w:rsidP="00C1754C">
      <w:pPr>
        <w:spacing w:after="0" w:line="304" w:lineRule="exact"/>
        <w:jc w:val="both"/>
        <w:rPr>
          <w:rFonts w:ascii="Arial" w:eastAsia="Calibri" w:hAnsi="Arial" w:cs="Arial"/>
          <w:sz w:val="24"/>
          <w:szCs w:val="24"/>
          <w:lang w:eastAsia="es-ES"/>
        </w:rPr>
      </w:pPr>
    </w:p>
    <w:p w:rsidR="00ED5053" w:rsidRPr="0093584F" w:rsidRDefault="0002237F" w:rsidP="00C1754C">
      <w:pPr>
        <w:numPr>
          <w:ilvl w:val="0"/>
          <w:numId w:val="1"/>
        </w:numPr>
        <w:tabs>
          <w:tab w:val="clear" w:pos="360"/>
        </w:tabs>
        <w:spacing w:after="0" w:line="304"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L</w:t>
      </w:r>
      <w:r w:rsidR="00ED5053" w:rsidRPr="0093584F">
        <w:rPr>
          <w:rFonts w:ascii="Arial" w:eastAsia="Calibri" w:hAnsi="Arial" w:cs="Arial"/>
          <w:sz w:val="24"/>
          <w:szCs w:val="24"/>
          <w:lang w:val="es-ES" w:eastAsia="es-ES"/>
        </w:rPr>
        <w:t xml:space="preserve">os artículos 41, </w:t>
      </w:r>
      <w:r w:rsidR="00FF3E52">
        <w:rPr>
          <w:rFonts w:ascii="Arial" w:eastAsia="Calibri" w:hAnsi="Arial" w:cs="Arial"/>
          <w:sz w:val="24"/>
          <w:szCs w:val="24"/>
          <w:lang w:val="es-ES" w:eastAsia="es-ES"/>
        </w:rPr>
        <w:t>Base V</w:t>
      </w:r>
      <w:r w:rsidR="00ED5053" w:rsidRPr="0093584F">
        <w:rPr>
          <w:rFonts w:ascii="Arial" w:eastAsia="Calibri" w:hAnsi="Arial" w:cs="Arial"/>
          <w:sz w:val="24"/>
          <w:szCs w:val="24"/>
          <w:lang w:val="es-ES" w:eastAsia="es-ES"/>
        </w:rPr>
        <w:t>, Apartado A, párrafos primero y segundo, de la Constitución Política de los Estados Unidos Mexicanos (Constitución); 29, párrafo 1, de la Ley General de Instituciones y Procedimientos Electorales (LGIPE),</w:t>
      </w:r>
      <w:r w:rsidRPr="0093584F">
        <w:rPr>
          <w:rFonts w:ascii="Arial" w:eastAsia="Calibri" w:hAnsi="Arial" w:cs="Arial"/>
          <w:sz w:val="24"/>
          <w:szCs w:val="24"/>
          <w:lang w:val="es-ES" w:eastAsia="es-ES"/>
        </w:rPr>
        <w:t xml:space="preserve"> dispone que </w:t>
      </w:r>
      <w:r w:rsidR="00ED5053" w:rsidRPr="0093584F">
        <w:rPr>
          <w:rFonts w:ascii="Arial" w:eastAsia="Calibri" w:hAnsi="Arial" w:cs="Arial"/>
          <w:sz w:val="24"/>
          <w:szCs w:val="24"/>
          <w:lang w:val="es-ES" w:eastAsia="es-ES"/>
        </w:rPr>
        <w:t>el Instituto Nacional Electoral es autoridad en la materia, independiente en sus decisiones y funcionamiento y profesional en su desempeño y que cuenta en su estructura con órganos de dirección, ejecutivos, técnicos y de vigilancia.</w:t>
      </w:r>
    </w:p>
    <w:p w:rsidR="00ED5053" w:rsidRPr="0093584F" w:rsidRDefault="00ED5053" w:rsidP="00C1754C">
      <w:pPr>
        <w:spacing w:after="0" w:line="304" w:lineRule="exact"/>
        <w:ind w:left="567" w:hanging="567"/>
        <w:jc w:val="both"/>
        <w:rPr>
          <w:rFonts w:ascii="Arial" w:eastAsia="Calibri" w:hAnsi="Arial" w:cs="Arial"/>
          <w:sz w:val="24"/>
          <w:szCs w:val="24"/>
          <w:lang w:val="es-ES" w:eastAsia="es-ES"/>
        </w:rPr>
      </w:pPr>
    </w:p>
    <w:p w:rsidR="00CF24DF" w:rsidRDefault="0002237F" w:rsidP="00C1754C">
      <w:pPr>
        <w:numPr>
          <w:ilvl w:val="0"/>
          <w:numId w:val="1"/>
        </w:numPr>
        <w:tabs>
          <w:tab w:val="clear" w:pos="360"/>
        </w:tabs>
        <w:spacing w:after="0" w:line="304"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En atención</w:t>
      </w:r>
      <w:r w:rsidR="00ED5053" w:rsidRPr="0093584F">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al</w:t>
      </w:r>
      <w:r w:rsidR="00ED5053" w:rsidRPr="0093584F">
        <w:rPr>
          <w:rFonts w:ascii="Arial" w:eastAsia="Calibri" w:hAnsi="Arial" w:cs="Arial"/>
          <w:sz w:val="24"/>
          <w:szCs w:val="24"/>
          <w:lang w:val="es-ES" w:eastAsia="es-ES"/>
        </w:rPr>
        <w:t xml:space="preserve"> artículo 47, párrafo 1, de la LGIPE, </w:t>
      </w:r>
      <w:r w:rsidR="00553915" w:rsidRPr="0093584F">
        <w:rPr>
          <w:rFonts w:ascii="Arial" w:eastAsia="Calibri" w:hAnsi="Arial" w:cs="Arial"/>
          <w:sz w:val="24"/>
          <w:szCs w:val="24"/>
          <w:lang w:val="es-ES" w:eastAsia="es-ES"/>
        </w:rPr>
        <w:t>la Junta se integra por el Presidente del Consejo quien lo preside y con el Secretario Ejecutivo, los Directores Ejecutivos del Registro Federal de Electores, de Prerrogativas y Partidos Políticos, de Organización Electoral, del Servicio Profesional Electoral Nacional, de Capacitación Electoral y Educación Cívica, de Administración, así como con el Titular de la Unidad Técnica de Vinculación con los Organismos Públicos Locales y los de las Unidades Técnicas de Fiscalización y de lo Contencioso Electoral</w:t>
      </w:r>
      <w:r w:rsidR="00ED5053" w:rsidRPr="0093584F">
        <w:rPr>
          <w:rFonts w:ascii="Arial" w:eastAsia="Calibri" w:hAnsi="Arial" w:cs="Arial"/>
          <w:sz w:val="24"/>
          <w:szCs w:val="24"/>
          <w:lang w:val="es-ES" w:eastAsia="es-ES"/>
        </w:rPr>
        <w:t>.</w:t>
      </w:r>
    </w:p>
    <w:p w:rsidR="00E27FB4" w:rsidRPr="00E27FB4" w:rsidRDefault="00E27FB4" w:rsidP="00C1754C">
      <w:pPr>
        <w:spacing w:after="0" w:line="304" w:lineRule="exact"/>
        <w:ind w:left="567" w:hanging="567"/>
        <w:jc w:val="both"/>
        <w:rPr>
          <w:rFonts w:ascii="Arial" w:eastAsia="Calibri" w:hAnsi="Arial" w:cs="Arial"/>
          <w:sz w:val="24"/>
          <w:szCs w:val="24"/>
          <w:lang w:val="es-ES" w:eastAsia="es-ES"/>
        </w:rPr>
      </w:pPr>
    </w:p>
    <w:p w:rsidR="00B736A8" w:rsidRDefault="00CF24DF" w:rsidP="00C1754C">
      <w:pPr>
        <w:numPr>
          <w:ilvl w:val="0"/>
          <w:numId w:val="1"/>
        </w:numPr>
        <w:tabs>
          <w:tab w:val="clear" w:pos="360"/>
        </w:tabs>
        <w:spacing w:after="0" w:line="304"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 xml:space="preserve">Conforme los artículos 453 y 463 del Estatuto del Servicio Profesional Electoral Nacional y del Personal de la Rama Administrativa (Estatuto), </w:t>
      </w:r>
      <w:r w:rsidR="00CE6E78" w:rsidRPr="0093584F">
        <w:rPr>
          <w:rFonts w:ascii="Arial" w:eastAsia="Calibri" w:hAnsi="Arial" w:cs="Arial"/>
          <w:sz w:val="24"/>
          <w:szCs w:val="24"/>
          <w:lang w:val="es-ES" w:eastAsia="es-ES"/>
        </w:rPr>
        <w:t xml:space="preserve">es </w:t>
      </w:r>
      <w:r w:rsidRPr="0093584F">
        <w:rPr>
          <w:rFonts w:ascii="Arial" w:eastAsia="Calibri" w:hAnsi="Arial" w:cs="Arial"/>
          <w:sz w:val="24"/>
          <w:szCs w:val="24"/>
          <w:lang w:val="es-ES" w:eastAsia="es-ES"/>
        </w:rPr>
        <w:t>la</w:t>
      </w:r>
      <w:r w:rsidR="00F01CDB" w:rsidRPr="0093584F">
        <w:rPr>
          <w:rFonts w:ascii="Arial" w:eastAsia="Calibri" w:hAnsi="Arial" w:cs="Arial"/>
          <w:sz w:val="24"/>
          <w:szCs w:val="24"/>
          <w:lang w:val="es-ES" w:eastAsia="es-ES"/>
        </w:rPr>
        <w:t xml:space="preserve"> Junta General Ejecutiva</w:t>
      </w:r>
      <w:r w:rsidRPr="0093584F">
        <w:rPr>
          <w:rFonts w:ascii="Arial" w:eastAsia="Calibri" w:hAnsi="Arial" w:cs="Arial"/>
          <w:sz w:val="24"/>
          <w:szCs w:val="24"/>
          <w:lang w:val="es-ES" w:eastAsia="es-ES"/>
        </w:rPr>
        <w:t xml:space="preserve"> el órgano administrativo </w:t>
      </w:r>
      <w:r w:rsidR="00CE6E78" w:rsidRPr="0093584F">
        <w:rPr>
          <w:rFonts w:ascii="Arial" w:eastAsia="Calibri" w:hAnsi="Arial" w:cs="Arial"/>
          <w:sz w:val="24"/>
          <w:szCs w:val="24"/>
          <w:lang w:val="es-ES" w:eastAsia="es-ES"/>
        </w:rPr>
        <w:t xml:space="preserve">al </w:t>
      </w:r>
      <w:r w:rsidRPr="0093584F">
        <w:rPr>
          <w:rFonts w:ascii="Arial" w:eastAsia="Calibri" w:hAnsi="Arial" w:cs="Arial"/>
          <w:sz w:val="24"/>
          <w:szCs w:val="24"/>
          <w:lang w:val="es-ES" w:eastAsia="es-ES"/>
        </w:rPr>
        <w:t>que le compete resolver el recurso de inconformidad que se interponga para controvertir la resolución recaída en los procedimientos laborales disciplinarios</w:t>
      </w:r>
      <w:r w:rsidR="00CE6E78" w:rsidRPr="0093584F">
        <w:rPr>
          <w:rFonts w:ascii="Arial" w:eastAsia="Calibri" w:hAnsi="Arial" w:cs="Arial"/>
          <w:sz w:val="24"/>
          <w:szCs w:val="24"/>
          <w:lang w:val="es-ES" w:eastAsia="es-ES"/>
        </w:rPr>
        <w:t xml:space="preserve"> y el Consejo General del Instituto las impugnaciones en contra de los acuerdos que determinen los cambios de adscripción o rotación de los miembros del Servicio Profesional Electoral</w:t>
      </w:r>
      <w:r w:rsidRPr="0093584F">
        <w:rPr>
          <w:rFonts w:ascii="Arial" w:eastAsia="Calibri" w:hAnsi="Arial" w:cs="Arial"/>
          <w:sz w:val="24"/>
          <w:szCs w:val="24"/>
          <w:lang w:val="es-ES" w:eastAsia="es-ES"/>
        </w:rPr>
        <w:t>.</w:t>
      </w:r>
    </w:p>
    <w:p w:rsidR="00980AD0" w:rsidRDefault="00980AD0" w:rsidP="00C1754C">
      <w:pPr>
        <w:pStyle w:val="Prrafodelista"/>
        <w:tabs>
          <w:tab w:val="left" w:pos="142"/>
        </w:tabs>
        <w:spacing w:after="0" w:line="304" w:lineRule="exact"/>
        <w:ind w:left="567" w:hanging="567"/>
        <w:jc w:val="both"/>
        <w:rPr>
          <w:rFonts w:ascii="Arial" w:eastAsia="Calibri" w:hAnsi="Arial" w:cs="Arial"/>
          <w:sz w:val="24"/>
          <w:szCs w:val="24"/>
          <w:lang w:val="es-ES" w:eastAsia="es-ES"/>
        </w:rPr>
      </w:pPr>
    </w:p>
    <w:p w:rsidR="00D34F12" w:rsidRDefault="00D34F12" w:rsidP="00C1754C">
      <w:pPr>
        <w:pStyle w:val="Prrafodelista"/>
        <w:tabs>
          <w:tab w:val="left" w:pos="142"/>
        </w:tabs>
        <w:spacing w:after="0" w:line="304" w:lineRule="exact"/>
        <w:ind w:left="567" w:hanging="567"/>
        <w:jc w:val="both"/>
        <w:rPr>
          <w:rFonts w:ascii="Arial" w:eastAsia="Calibri" w:hAnsi="Arial" w:cs="Arial"/>
          <w:sz w:val="24"/>
          <w:szCs w:val="24"/>
          <w:lang w:val="es-ES" w:eastAsia="es-ES"/>
        </w:rPr>
      </w:pPr>
    </w:p>
    <w:p w:rsidR="00D34F12" w:rsidRPr="00DF7B88" w:rsidRDefault="00D34F12" w:rsidP="00C1754C">
      <w:pPr>
        <w:pStyle w:val="Prrafodelista"/>
        <w:tabs>
          <w:tab w:val="left" w:pos="142"/>
        </w:tabs>
        <w:spacing w:after="0" w:line="304" w:lineRule="exact"/>
        <w:ind w:left="567" w:hanging="567"/>
        <w:jc w:val="both"/>
        <w:rPr>
          <w:rFonts w:ascii="Arial" w:eastAsia="Calibri" w:hAnsi="Arial" w:cs="Arial"/>
          <w:sz w:val="24"/>
          <w:szCs w:val="24"/>
          <w:lang w:val="es-ES" w:eastAsia="es-ES"/>
        </w:rPr>
      </w:pPr>
    </w:p>
    <w:p w:rsidR="00ED5053" w:rsidRDefault="00461080" w:rsidP="00C1754C">
      <w:pPr>
        <w:pStyle w:val="Prrafodelista"/>
        <w:numPr>
          <w:ilvl w:val="0"/>
          <w:numId w:val="1"/>
        </w:numPr>
        <w:tabs>
          <w:tab w:val="clear" w:pos="360"/>
        </w:tabs>
        <w:spacing w:after="0" w:line="304" w:lineRule="exact"/>
        <w:ind w:left="567" w:hanging="567"/>
        <w:jc w:val="both"/>
        <w:rPr>
          <w:rFonts w:ascii="Arial" w:eastAsia="Calibri" w:hAnsi="Arial" w:cs="Arial"/>
          <w:sz w:val="24"/>
          <w:szCs w:val="24"/>
          <w:lang w:val="es-ES" w:eastAsia="es-ES"/>
        </w:rPr>
      </w:pPr>
      <w:r w:rsidRPr="00DF7B88">
        <w:rPr>
          <w:rFonts w:ascii="Arial" w:eastAsia="Calibri" w:hAnsi="Arial" w:cs="Arial"/>
          <w:sz w:val="24"/>
          <w:szCs w:val="24"/>
          <w:lang w:val="es-ES" w:eastAsia="es-ES"/>
        </w:rPr>
        <w:lastRenderedPageBreak/>
        <w:t>Con base en lo anterior, la Junta General Ejecutiva del Instituto Nacional Electoral, es autoridad competente para conocer y resolver el presente recurso de inconformidad</w:t>
      </w:r>
      <w:r w:rsidR="00AE3896" w:rsidRPr="00DF7B88">
        <w:rPr>
          <w:rFonts w:ascii="Arial" w:eastAsia="Calibri" w:hAnsi="Arial" w:cs="Arial"/>
          <w:sz w:val="24"/>
          <w:szCs w:val="24"/>
          <w:lang w:val="es-ES" w:eastAsia="es-ES"/>
        </w:rPr>
        <w:t>,</w:t>
      </w:r>
      <w:r w:rsidR="005F1F1A" w:rsidRPr="00DF7B88">
        <w:rPr>
          <w:rFonts w:ascii="Arial" w:eastAsia="Calibri" w:hAnsi="Arial" w:cs="Arial"/>
          <w:sz w:val="24"/>
          <w:szCs w:val="24"/>
          <w:lang w:val="es-ES" w:eastAsia="es-ES"/>
        </w:rPr>
        <w:t xml:space="preserve"> toda vez que se trata de </w:t>
      </w:r>
      <w:r w:rsidR="00F97E1A" w:rsidRPr="00DF7B88">
        <w:rPr>
          <w:rFonts w:ascii="Arial" w:eastAsia="Calibri" w:hAnsi="Arial" w:cs="Arial"/>
          <w:sz w:val="24"/>
          <w:szCs w:val="24"/>
          <w:lang w:val="es-ES" w:eastAsia="es-ES"/>
        </w:rPr>
        <w:t xml:space="preserve">una impugnación </w:t>
      </w:r>
      <w:r w:rsidR="00FF3E52">
        <w:rPr>
          <w:rFonts w:ascii="Arial" w:eastAsia="Calibri" w:hAnsi="Arial" w:cs="Arial"/>
          <w:sz w:val="24"/>
          <w:szCs w:val="24"/>
          <w:lang w:val="es-ES" w:eastAsia="es-ES"/>
        </w:rPr>
        <w:t>en contra de la Resolución</w:t>
      </w:r>
      <w:r w:rsidR="00A21736">
        <w:rPr>
          <w:rFonts w:ascii="Arial" w:eastAsia="Calibri" w:hAnsi="Arial" w:cs="Arial"/>
          <w:sz w:val="24"/>
          <w:szCs w:val="24"/>
          <w:lang w:val="es-ES" w:eastAsia="es-ES"/>
        </w:rPr>
        <w:t xml:space="preserve"> emitida en </w:t>
      </w:r>
      <w:r w:rsidR="00980AD0" w:rsidRPr="00DF7B88">
        <w:rPr>
          <w:rFonts w:ascii="Arial" w:eastAsia="Calibri" w:hAnsi="Arial" w:cs="Arial"/>
          <w:sz w:val="24"/>
          <w:szCs w:val="24"/>
          <w:lang w:val="es-ES" w:eastAsia="es-ES"/>
        </w:rPr>
        <w:t>un procedimiento laboral disciplinario</w:t>
      </w:r>
      <w:r w:rsidRPr="00DF7B88">
        <w:rPr>
          <w:rFonts w:ascii="Arial" w:eastAsia="Calibri" w:hAnsi="Arial" w:cs="Arial"/>
          <w:sz w:val="24"/>
          <w:szCs w:val="24"/>
          <w:lang w:val="es-ES" w:eastAsia="es-ES"/>
        </w:rPr>
        <w:t>.</w:t>
      </w:r>
    </w:p>
    <w:p w:rsidR="00D34F12" w:rsidRPr="00D34F12" w:rsidRDefault="00D34F12" w:rsidP="00D34F12">
      <w:pPr>
        <w:spacing w:after="0" w:line="304" w:lineRule="exact"/>
        <w:jc w:val="both"/>
        <w:rPr>
          <w:rFonts w:ascii="Arial" w:eastAsia="Calibri" w:hAnsi="Arial" w:cs="Arial"/>
          <w:sz w:val="24"/>
          <w:szCs w:val="24"/>
          <w:lang w:val="es-ES" w:eastAsia="es-ES"/>
        </w:rPr>
      </w:pPr>
    </w:p>
    <w:p w:rsidR="00ED5053" w:rsidRPr="0093584F" w:rsidRDefault="00ED5053" w:rsidP="00C1754C">
      <w:pPr>
        <w:numPr>
          <w:ilvl w:val="0"/>
          <w:numId w:val="1"/>
        </w:numPr>
        <w:tabs>
          <w:tab w:val="clear" w:pos="360"/>
        </w:tabs>
        <w:spacing w:after="0" w:line="304"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 xml:space="preserve">Con fundamento en el artículo 455 párrafo segundo del Estatuto, el Secretario someterá a consideración de la Junta, la aprobación del </w:t>
      </w:r>
      <w:r w:rsidR="00FF3E52">
        <w:rPr>
          <w:rFonts w:ascii="Arial" w:eastAsia="Calibri" w:hAnsi="Arial" w:cs="Arial"/>
          <w:sz w:val="24"/>
          <w:szCs w:val="24"/>
          <w:lang w:val="es-ES" w:eastAsia="es-ES"/>
        </w:rPr>
        <w:t>Proyecto de Acuerdo</w:t>
      </w:r>
      <w:r w:rsidRPr="0093584F">
        <w:rPr>
          <w:rFonts w:ascii="Arial" w:eastAsia="Calibri" w:hAnsi="Arial" w:cs="Arial"/>
          <w:sz w:val="24"/>
          <w:szCs w:val="24"/>
          <w:lang w:val="es-ES" w:eastAsia="es-ES"/>
        </w:rPr>
        <w:t xml:space="preserve">, en el que designe a una de las Direcciones Ejecutivas o Unidades Técnicas que la integran, para que, en su oportunidad elabore el proyecto de auto de admisión, de desechamiento o de no interposición del recurso, y en su caso, el </w:t>
      </w:r>
      <w:r w:rsidR="00FF3E52">
        <w:rPr>
          <w:rFonts w:ascii="Arial" w:eastAsia="Calibri" w:hAnsi="Arial" w:cs="Arial"/>
          <w:sz w:val="24"/>
          <w:szCs w:val="24"/>
          <w:lang w:val="es-ES" w:eastAsia="es-ES"/>
        </w:rPr>
        <w:t>Proyecto de Resolución</w:t>
      </w:r>
      <w:r w:rsidRPr="0093584F">
        <w:rPr>
          <w:rFonts w:ascii="Arial" w:eastAsia="Calibri" w:hAnsi="Arial" w:cs="Arial"/>
          <w:sz w:val="24"/>
          <w:szCs w:val="24"/>
          <w:lang w:val="es-ES" w:eastAsia="es-ES"/>
        </w:rPr>
        <w:t xml:space="preserve"> que en Derecho corresponda.</w:t>
      </w:r>
    </w:p>
    <w:p w:rsidR="00ED5053" w:rsidRPr="0093584F" w:rsidRDefault="00ED5053" w:rsidP="00C1754C">
      <w:pPr>
        <w:spacing w:after="0" w:line="304" w:lineRule="exact"/>
        <w:ind w:left="567" w:hanging="567"/>
        <w:jc w:val="both"/>
        <w:rPr>
          <w:rFonts w:ascii="Arial" w:eastAsia="Calibri" w:hAnsi="Arial" w:cs="Arial"/>
          <w:sz w:val="24"/>
          <w:szCs w:val="24"/>
          <w:lang w:val="es-ES" w:eastAsia="es-ES"/>
        </w:rPr>
      </w:pPr>
    </w:p>
    <w:p w:rsidR="00572732" w:rsidRDefault="00ED5053" w:rsidP="00C1754C">
      <w:pPr>
        <w:numPr>
          <w:ilvl w:val="0"/>
          <w:numId w:val="1"/>
        </w:numPr>
        <w:tabs>
          <w:tab w:val="clear" w:pos="360"/>
        </w:tabs>
        <w:spacing w:after="0" w:line="304" w:lineRule="exact"/>
        <w:ind w:left="567" w:hanging="567"/>
        <w:jc w:val="both"/>
        <w:rPr>
          <w:rFonts w:ascii="Arial" w:eastAsia="Calibri" w:hAnsi="Arial" w:cs="Arial"/>
          <w:sz w:val="24"/>
          <w:szCs w:val="24"/>
          <w:lang w:val="es-ES" w:eastAsia="es-ES"/>
        </w:rPr>
      </w:pPr>
      <w:r w:rsidRPr="00E1190A">
        <w:rPr>
          <w:rFonts w:ascii="Arial" w:eastAsia="Calibri" w:hAnsi="Arial" w:cs="Arial"/>
          <w:sz w:val="24"/>
          <w:szCs w:val="24"/>
          <w:lang w:val="es-ES" w:eastAsia="es-ES"/>
        </w:rPr>
        <w:t>En el presente asunto,</w:t>
      </w:r>
      <w:r w:rsidR="00304CA3">
        <w:rPr>
          <w:rFonts w:ascii="Arial" w:eastAsia="Calibri" w:hAnsi="Arial" w:cs="Arial"/>
          <w:sz w:val="24"/>
          <w:szCs w:val="24"/>
          <w:lang w:val="es-ES" w:eastAsia="es-ES"/>
        </w:rPr>
        <w:t xml:space="preserve"> </w:t>
      </w:r>
      <w:r w:rsidR="00572732">
        <w:rPr>
          <w:rFonts w:ascii="Arial" w:eastAsia="Calibri" w:hAnsi="Arial" w:cs="Arial"/>
          <w:sz w:val="24"/>
          <w:szCs w:val="24"/>
          <w:lang w:val="es-ES" w:eastAsia="es-ES"/>
        </w:rPr>
        <w:t xml:space="preserve">esta Junta </w:t>
      </w:r>
      <w:r w:rsidR="00476429">
        <w:rPr>
          <w:rFonts w:ascii="Arial" w:eastAsia="Calibri" w:hAnsi="Arial" w:cs="Arial"/>
          <w:sz w:val="24"/>
          <w:szCs w:val="24"/>
          <w:lang w:val="es-ES" w:eastAsia="es-ES"/>
        </w:rPr>
        <w:t>designó el 20 de junio</w:t>
      </w:r>
      <w:r w:rsidR="00762631">
        <w:rPr>
          <w:rFonts w:ascii="Arial" w:eastAsia="Calibri" w:hAnsi="Arial" w:cs="Arial"/>
          <w:sz w:val="24"/>
          <w:szCs w:val="24"/>
          <w:lang w:val="es-ES" w:eastAsia="es-ES"/>
        </w:rPr>
        <w:t xml:space="preserve"> de 2019</w:t>
      </w:r>
      <w:r w:rsidR="00476429">
        <w:rPr>
          <w:rFonts w:ascii="Arial" w:eastAsia="Calibri" w:hAnsi="Arial" w:cs="Arial"/>
          <w:sz w:val="24"/>
          <w:szCs w:val="24"/>
          <w:lang w:val="es-ES" w:eastAsia="es-ES"/>
        </w:rPr>
        <w:t xml:space="preserve"> a la Dirección Ejecutiva de Administración, </w:t>
      </w:r>
      <w:r w:rsidR="00762631">
        <w:rPr>
          <w:rFonts w:ascii="Arial" w:eastAsia="Calibri" w:hAnsi="Arial" w:cs="Arial"/>
          <w:sz w:val="24"/>
          <w:szCs w:val="24"/>
          <w:lang w:val="es-ES" w:eastAsia="es-ES"/>
        </w:rPr>
        <w:t xml:space="preserve">sin embargo, ese órgano solicitó el 9 de julio del año en curso, se designe a una Dirección diversa en virtud de que actuó como autoridad instructora en el procedimiento laboral disciplinario </w:t>
      </w:r>
      <w:r w:rsidR="002154DA">
        <w:rPr>
          <w:rFonts w:ascii="Arial" w:eastAsia="Calibri" w:hAnsi="Arial" w:cs="Arial"/>
          <w:sz w:val="24"/>
          <w:szCs w:val="24"/>
          <w:lang w:val="es-ES" w:eastAsia="es-ES"/>
        </w:rPr>
        <w:t xml:space="preserve">INE/DEA/PLD/JDE16-CDMX/032/2018, en el que se </w:t>
      </w:r>
      <w:r w:rsidR="00FF3E52">
        <w:rPr>
          <w:rFonts w:ascii="Arial" w:eastAsia="Calibri" w:hAnsi="Arial" w:cs="Arial"/>
          <w:sz w:val="24"/>
          <w:szCs w:val="24"/>
          <w:lang w:val="es-ES" w:eastAsia="es-ES"/>
        </w:rPr>
        <w:t>emitió la Resolución</w:t>
      </w:r>
      <w:r w:rsidR="002154DA">
        <w:rPr>
          <w:rFonts w:ascii="Arial" w:eastAsia="Calibri" w:hAnsi="Arial" w:cs="Arial"/>
          <w:sz w:val="24"/>
          <w:szCs w:val="24"/>
          <w:lang w:val="es-ES" w:eastAsia="es-ES"/>
        </w:rPr>
        <w:t xml:space="preserve"> que hoy se impugna.</w:t>
      </w:r>
    </w:p>
    <w:p w:rsidR="002154DA" w:rsidRPr="002154DA" w:rsidRDefault="002154DA" w:rsidP="00C1754C">
      <w:pPr>
        <w:spacing w:after="0" w:line="304" w:lineRule="exact"/>
        <w:ind w:left="567" w:hanging="567"/>
        <w:jc w:val="both"/>
        <w:rPr>
          <w:rFonts w:ascii="Arial" w:eastAsia="Calibri" w:hAnsi="Arial" w:cs="Arial"/>
          <w:sz w:val="24"/>
          <w:szCs w:val="24"/>
          <w:lang w:val="es-ES" w:eastAsia="es-ES"/>
        </w:rPr>
      </w:pPr>
    </w:p>
    <w:p w:rsidR="00C141EE" w:rsidRPr="00197031" w:rsidRDefault="002154DA" w:rsidP="00C1754C">
      <w:pPr>
        <w:numPr>
          <w:ilvl w:val="0"/>
          <w:numId w:val="1"/>
        </w:numPr>
        <w:tabs>
          <w:tab w:val="clear" w:pos="360"/>
        </w:tabs>
        <w:spacing w:after="0" w:line="304" w:lineRule="exact"/>
        <w:ind w:left="567" w:hanging="567"/>
        <w:jc w:val="both"/>
        <w:rPr>
          <w:rFonts w:ascii="Arial" w:eastAsia="Calibri" w:hAnsi="Arial" w:cs="Arial"/>
          <w:i/>
          <w:lang w:val="es-ES" w:eastAsia="es-ES"/>
        </w:rPr>
      </w:pPr>
      <w:r w:rsidRPr="00851A4A">
        <w:rPr>
          <w:rFonts w:ascii="Arial" w:eastAsia="Calibri" w:hAnsi="Arial" w:cs="Arial"/>
          <w:sz w:val="24"/>
          <w:szCs w:val="24"/>
          <w:lang w:val="es-ES" w:eastAsia="es-ES"/>
        </w:rPr>
        <w:t xml:space="preserve">En virtud de lo anterior, esta Junta considera </w:t>
      </w:r>
      <w:r w:rsidR="00CB09A5" w:rsidRPr="00851A4A">
        <w:rPr>
          <w:rFonts w:ascii="Arial" w:eastAsia="Calibri" w:hAnsi="Arial" w:cs="Arial"/>
          <w:sz w:val="24"/>
          <w:szCs w:val="24"/>
          <w:lang w:val="es-ES" w:eastAsia="es-ES"/>
        </w:rPr>
        <w:t xml:space="preserve">procedente returnar el recurso </w:t>
      </w:r>
      <w:r w:rsidR="0098505A" w:rsidRPr="00851A4A">
        <w:rPr>
          <w:rFonts w:ascii="Arial" w:eastAsia="Calibri" w:hAnsi="Arial" w:cs="Arial"/>
          <w:sz w:val="24"/>
          <w:szCs w:val="24"/>
          <w:lang w:val="es-ES" w:eastAsia="es-ES"/>
        </w:rPr>
        <w:t xml:space="preserve">a una Dirección Ejecutiva distinta, a efecto de </w:t>
      </w:r>
      <w:r w:rsidR="00D53099" w:rsidRPr="00851A4A">
        <w:rPr>
          <w:rFonts w:ascii="Arial" w:eastAsia="Calibri" w:hAnsi="Arial" w:cs="Arial"/>
          <w:sz w:val="24"/>
          <w:szCs w:val="24"/>
          <w:lang w:val="es-ES" w:eastAsia="es-ES"/>
        </w:rPr>
        <w:t xml:space="preserve">salvaguardar el principio de imparcialidad, previsto en el artículo 17 </w:t>
      </w:r>
      <w:r w:rsidR="0098505A" w:rsidRPr="00851A4A">
        <w:rPr>
          <w:rFonts w:ascii="Arial" w:eastAsia="Calibri" w:hAnsi="Arial" w:cs="Arial"/>
          <w:sz w:val="24"/>
          <w:szCs w:val="24"/>
          <w:lang w:val="es-ES" w:eastAsia="es-ES"/>
        </w:rPr>
        <w:t>de la Constitución</w:t>
      </w:r>
      <w:r w:rsidR="00851A4A">
        <w:rPr>
          <w:rFonts w:ascii="Arial" w:eastAsia="Calibri" w:hAnsi="Arial" w:cs="Arial"/>
          <w:sz w:val="24"/>
          <w:szCs w:val="24"/>
          <w:lang w:val="es-ES" w:eastAsia="es-ES"/>
        </w:rPr>
        <w:t xml:space="preserve">, porque la Dirección previamente designada se encuentra impedida para resolver, </w:t>
      </w:r>
      <w:r w:rsidR="00557AE1" w:rsidRPr="00557AE1">
        <w:rPr>
          <w:rFonts w:ascii="Arial" w:eastAsia="Calibri" w:hAnsi="Arial" w:cs="Arial"/>
          <w:sz w:val="24"/>
          <w:szCs w:val="24"/>
          <w:lang w:val="es-ES" w:eastAsia="es-ES"/>
        </w:rPr>
        <w:t xml:space="preserve">ya </w:t>
      </w:r>
      <w:r w:rsidR="00851A4A">
        <w:rPr>
          <w:rFonts w:ascii="Arial" w:eastAsia="Calibri" w:hAnsi="Arial" w:cs="Arial"/>
          <w:sz w:val="24"/>
          <w:szCs w:val="24"/>
          <w:lang w:val="es-ES" w:eastAsia="es-ES"/>
        </w:rPr>
        <w:t xml:space="preserve">que </w:t>
      </w:r>
      <w:r w:rsidR="00C141EE">
        <w:rPr>
          <w:rFonts w:ascii="Arial" w:eastAsia="Calibri" w:hAnsi="Arial" w:cs="Arial"/>
          <w:sz w:val="24"/>
          <w:szCs w:val="24"/>
          <w:lang w:val="es-ES" w:eastAsia="es-ES"/>
        </w:rPr>
        <w:t xml:space="preserve">llevó a cabo la etapa de instrucción del procedimiento laboral disciplinario, </w:t>
      </w:r>
      <w:r w:rsidR="00557AE1" w:rsidRPr="00557AE1">
        <w:rPr>
          <w:rFonts w:ascii="Arial" w:eastAsia="Calibri" w:hAnsi="Arial" w:cs="Arial"/>
          <w:sz w:val="24"/>
          <w:szCs w:val="24"/>
          <w:lang w:val="es-ES" w:eastAsia="es-ES"/>
        </w:rPr>
        <w:t>es decir, ya tiene una convicción formada sobre la manera de resolverlo y, por tanto, podría verse afectada su imparcialidad y objetividad al dictar la resolución.</w:t>
      </w:r>
      <w:r w:rsidR="00C141EE">
        <w:rPr>
          <w:rFonts w:ascii="Arial" w:eastAsia="Calibri" w:hAnsi="Arial" w:cs="Arial"/>
          <w:sz w:val="24"/>
          <w:szCs w:val="24"/>
          <w:lang w:val="es-ES" w:eastAsia="es-ES"/>
        </w:rPr>
        <w:t xml:space="preserve"> Sirve de </w:t>
      </w:r>
      <w:r w:rsidR="00BF0A65">
        <w:rPr>
          <w:rFonts w:ascii="Arial" w:eastAsia="Calibri" w:hAnsi="Arial" w:cs="Arial"/>
          <w:sz w:val="24"/>
          <w:szCs w:val="24"/>
          <w:lang w:val="es-ES" w:eastAsia="es-ES"/>
        </w:rPr>
        <w:t>criterio orientador</w:t>
      </w:r>
      <w:r w:rsidR="00C141EE">
        <w:rPr>
          <w:rFonts w:ascii="Arial" w:eastAsia="Calibri" w:hAnsi="Arial" w:cs="Arial"/>
          <w:sz w:val="24"/>
          <w:szCs w:val="24"/>
          <w:lang w:val="es-ES" w:eastAsia="es-ES"/>
        </w:rPr>
        <w:t xml:space="preserve"> </w:t>
      </w:r>
      <w:r w:rsidR="00557AE1" w:rsidRPr="00BF0A65">
        <w:rPr>
          <w:rFonts w:ascii="Arial" w:eastAsia="Calibri" w:hAnsi="Arial" w:cs="Arial"/>
          <w:sz w:val="24"/>
          <w:szCs w:val="24"/>
          <w:lang w:val="es-ES" w:eastAsia="es-ES"/>
        </w:rPr>
        <w:t>la tesis del Pleno de la Suprema Corte de Justicia de la Nación,</w:t>
      </w:r>
      <w:r w:rsidR="00C141EE" w:rsidRPr="00BF0A65">
        <w:rPr>
          <w:rFonts w:ascii="Arial" w:eastAsia="Calibri" w:hAnsi="Arial" w:cs="Arial"/>
          <w:sz w:val="24"/>
          <w:szCs w:val="24"/>
          <w:lang w:val="es-ES" w:eastAsia="es-ES"/>
        </w:rPr>
        <w:t xml:space="preserve"> de rubro</w:t>
      </w:r>
      <w:r w:rsidR="00557AE1" w:rsidRPr="00E55C08">
        <w:rPr>
          <w:rFonts w:ascii="Arial" w:eastAsia="Calibri" w:hAnsi="Arial" w:cs="Arial"/>
          <w:i/>
          <w:sz w:val="24"/>
          <w:szCs w:val="24"/>
          <w:lang w:val="es-ES" w:eastAsia="es-ES"/>
        </w:rPr>
        <w:t xml:space="preserve">: </w:t>
      </w:r>
      <w:r w:rsidR="00557AE1" w:rsidRPr="00E55C08">
        <w:rPr>
          <w:rFonts w:ascii="Arial" w:eastAsia="Calibri" w:hAnsi="Arial" w:cs="Arial"/>
          <w:i/>
          <w:lang w:val="es-ES" w:eastAsia="es-ES"/>
        </w:rPr>
        <w:t>“IMPEDIMENTO. LA CAUSA PREVISTA EN EL ARTÍCULO 146, FRACCIÓN XVI, EN RELACIÓN CON LA XVIII, DE LA LEY ORGÁNICA DEL PODER JUDICIAL DE LA FEDERACIÓN, PUEDE ACREDITARSE CON LA CONFESIÓN DEL FUNCIONARIO JUDICIAL EN EL SENTIDO DE QUE INTERVINO COMO INSTRUCTOR O RESOLUTOR EN OTRA INSTANCIA DEL MISMO PROCEDIMIENTO.</w:t>
      </w:r>
      <w:r w:rsidR="00E55C08" w:rsidRPr="00E55C08">
        <w:rPr>
          <w:rStyle w:val="Refdenotaalpie"/>
          <w:rFonts w:ascii="Arial" w:eastAsia="Calibri" w:hAnsi="Arial" w:cs="Arial"/>
          <w:i/>
          <w:lang w:val="es-ES" w:eastAsia="es-ES"/>
        </w:rPr>
        <w:footnoteReference w:id="1"/>
      </w:r>
      <w:r w:rsidR="00557AE1" w:rsidRPr="00E55C08">
        <w:rPr>
          <w:i/>
        </w:rPr>
        <w:t xml:space="preserve"> </w:t>
      </w:r>
    </w:p>
    <w:p w:rsidR="00197031" w:rsidRPr="00C141EE" w:rsidRDefault="00197031" w:rsidP="00C1754C">
      <w:pPr>
        <w:spacing w:after="0" w:line="304" w:lineRule="exact"/>
        <w:ind w:left="567" w:hanging="567"/>
        <w:jc w:val="both"/>
        <w:rPr>
          <w:rFonts w:ascii="Arial" w:eastAsia="Calibri" w:hAnsi="Arial" w:cs="Arial"/>
          <w:sz w:val="24"/>
          <w:szCs w:val="24"/>
          <w:lang w:val="es-ES" w:eastAsia="es-ES"/>
        </w:rPr>
      </w:pPr>
    </w:p>
    <w:p w:rsidR="00ED5053" w:rsidRDefault="00197031" w:rsidP="00C4077B">
      <w:pPr>
        <w:pStyle w:val="Prrafodelista"/>
        <w:numPr>
          <w:ilvl w:val="0"/>
          <w:numId w:val="1"/>
        </w:numPr>
        <w:tabs>
          <w:tab w:val="clear" w:pos="360"/>
          <w:tab w:val="num" w:pos="0"/>
        </w:tabs>
        <w:spacing w:after="0" w:line="290" w:lineRule="exact"/>
        <w:ind w:left="567" w:hanging="567"/>
        <w:jc w:val="both"/>
        <w:rPr>
          <w:rFonts w:ascii="Arial" w:eastAsia="Calibri" w:hAnsi="Arial" w:cs="Arial"/>
          <w:sz w:val="24"/>
          <w:szCs w:val="24"/>
          <w:lang w:val="es-ES" w:eastAsia="es-ES"/>
        </w:rPr>
      </w:pPr>
      <w:r w:rsidRPr="00197031">
        <w:rPr>
          <w:rFonts w:ascii="Arial" w:eastAsia="Calibri" w:hAnsi="Arial" w:cs="Arial"/>
          <w:sz w:val="24"/>
          <w:szCs w:val="24"/>
          <w:lang w:val="es-ES" w:eastAsia="es-ES"/>
        </w:rPr>
        <w:lastRenderedPageBreak/>
        <w:t xml:space="preserve">En consecuencia, con el fin de garantizar plenamente el principio constitucional de imparcialidad que rige el desempeño de las autoridades en materia electoral, se considera procedente la excusa solicitada por el </w:t>
      </w:r>
      <w:r w:rsidR="000D4DE6">
        <w:rPr>
          <w:rFonts w:ascii="Arial" w:eastAsia="Calibri" w:hAnsi="Arial" w:cs="Arial"/>
          <w:sz w:val="24"/>
          <w:szCs w:val="24"/>
          <w:lang w:val="es-ES" w:eastAsia="es-ES"/>
        </w:rPr>
        <w:t>Director Ejecutivo de Administración</w:t>
      </w:r>
      <w:r w:rsidRPr="00197031">
        <w:rPr>
          <w:rFonts w:ascii="Arial" w:eastAsia="Calibri" w:hAnsi="Arial" w:cs="Arial"/>
          <w:sz w:val="24"/>
          <w:szCs w:val="24"/>
          <w:lang w:val="es-ES" w:eastAsia="es-ES"/>
        </w:rPr>
        <w:t xml:space="preserve"> y, por tanto, </w:t>
      </w:r>
      <w:r w:rsidR="00ED5053" w:rsidRPr="00197031">
        <w:rPr>
          <w:rFonts w:ascii="Arial" w:eastAsia="Calibri" w:hAnsi="Arial" w:cs="Arial"/>
          <w:sz w:val="24"/>
          <w:szCs w:val="24"/>
          <w:lang w:val="es-ES" w:eastAsia="es-ES"/>
        </w:rPr>
        <w:t>r</w:t>
      </w:r>
      <w:r w:rsidR="001C0F96" w:rsidRPr="00197031">
        <w:rPr>
          <w:rFonts w:ascii="Arial" w:eastAsia="Calibri" w:hAnsi="Arial" w:cs="Arial"/>
          <w:sz w:val="24"/>
          <w:szCs w:val="24"/>
          <w:lang w:val="es-ES" w:eastAsia="es-ES"/>
        </w:rPr>
        <w:t xml:space="preserve">esulta procedente designar a la </w:t>
      </w:r>
      <w:r w:rsidR="000B3731" w:rsidRPr="00197031">
        <w:rPr>
          <w:rFonts w:ascii="Arial" w:eastAsia="Calibri" w:hAnsi="Arial" w:cs="Arial"/>
          <w:sz w:val="24"/>
          <w:szCs w:val="24"/>
          <w:lang w:val="es-ES" w:eastAsia="es-ES"/>
        </w:rPr>
        <w:t xml:space="preserve">Dirección Ejecutiva de </w:t>
      </w:r>
      <w:r w:rsidR="00CB09A5" w:rsidRPr="00197031">
        <w:rPr>
          <w:rFonts w:ascii="Arial" w:eastAsia="Calibri" w:hAnsi="Arial" w:cs="Arial"/>
          <w:sz w:val="24"/>
          <w:szCs w:val="24"/>
          <w:lang w:val="es-ES" w:eastAsia="es-ES"/>
        </w:rPr>
        <w:t>Prerrogativas y Partidos Políticos</w:t>
      </w:r>
      <w:r w:rsidR="000B3731" w:rsidRPr="00197031">
        <w:rPr>
          <w:rFonts w:ascii="Arial" w:eastAsia="Calibri" w:hAnsi="Arial" w:cs="Arial"/>
          <w:sz w:val="24"/>
          <w:szCs w:val="24"/>
          <w:lang w:val="es-ES" w:eastAsia="es-ES"/>
        </w:rPr>
        <w:t xml:space="preserve"> </w:t>
      </w:r>
      <w:r w:rsidR="00ED5053" w:rsidRPr="00197031">
        <w:rPr>
          <w:rFonts w:ascii="Arial" w:eastAsia="Calibri" w:hAnsi="Arial" w:cs="Arial"/>
          <w:sz w:val="24"/>
          <w:szCs w:val="24"/>
          <w:lang w:val="es-ES" w:eastAsia="es-ES"/>
        </w:rPr>
        <w:t xml:space="preserve">como el órgano encargado de elaborar el </w:t>
      </w:r>
      <w:r w:rsidR="00FF3E52">
        <w:rPr>
          <w:rFonts w:ascii="Arial" w:eastAsia="Calibri" w:hAnsi="Arial" w:cs="Arial"/>
          <w:sz w:val="24"/>
          <w:szCs w:val="24"/>
          <w:lang w:val="es-ES" w:eastAsia="es-ES"/>
        </w:rPr>
        <w:t>Proyecto de Resolución</w:t>
      </w:r>
      <w:r w:rsidR="008666F1" w:rsidRPr="00197031">
        <w:rPr>
          <w:rFonts w:ascii="Arial" w:eastAsia="Calibri" w:hAnsi="Arial" w:cs="Arial"/>
          <w:sz w:val="24"/>
          <w:szCs w:val="24"/>
          <w:lang w:val="es-ES" w:eastAsia="es-ES"/>
        </w:rPr>
        <w:t xml:space="preserve"> que en Derecho corresponda</w:t>
      </w:r>
      <w:r w:rsidR="00E1190A" w:rsidRPr="00197031">
        <w:rPr>
          <w:rFonts w:ascii="Arial" w:eastAsia="Calibri" w:hAnsi="Arial" w:cs="Arial"/>
          <w:sz w:val="24"/>
          <w:szCs w:val="24"/>
          <w:lang w:val="es-ES" w:eastAsia="es-ES"/>
        </w:rPr>
        <w:t>, para efecto de que lo someta a la aprobación de la Junta</w:t>
      </w:r>
      <w:r w:rsidR="0081699C" w:rsidRPr="00197031">
        <w:rPr>
          <w:rFonts w:ascii="Arial" w:eastAsia="Calibri" w:hAnsi="Arial" w:cs="Arial"/>
          <w:sz w:val="24"/>
          <w:szCs w:val="24"/>
          <w:lang w:val="es-ES" w:eastAsia="es-ES"/>
        </w:rPr>
        <w:t>.</w:t>
      </w:r>
    </w:p>
    <w:p w:rsidR="00FF3E52" w:rsidRPr="00FF3E52" w:rsidRDefault="00FF3E52" w:rsidP="00C4077B">
      <w:pPr>
        <w:spacing w:after="0" w:line="290" w:lineRule="exact"/>
        <w:jc w:val="both"/>
        <w:rPr>
          <w:rFonts w:ascii="Arial" w:eastAsia="Calibri" w:hAnsi="Arial" w:cs="Arial"/>
          <w:sz w:val="24"/>
          <w:szCs w:val="24"/>
          <w:lang w:val="es-ES" w:eastAsia="es-ES"/>
        </w:rPr>
      </w:pPr>
    </w:p>
    <w:p w:rsidR="00ED5053" w:rsidRPr="0093584F" w:rsidRDefault="00ED5053" w:rsidP="00C4077B">
      <w:pPr>
        <w:numPr>
          <w:ilvl w:val="0"/>
          <w:numId w:val="1"/>
        </w:numPr>
        <w:tabs>
          <w:tab w:val="clear" w:pos="360"/>
        </w:tabs>
        <w:spacing w:after="0" w:line="29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 xml:space="preserve">Por lo anterior, con fundamento en los artículos 41, párrafo segundo, </w:t>
      </w:r>
      <w:r w:rsidR="00FF3E52">
        <w:rPr>
          <w:rFonts w:ascii="Arial" w:eastAsia="Calibri" w:hAnsi="Arial" w:cs="Arial"/>
          <w:sz w:val="24"/>
          <w:szCs w:val="24"/>
          <w:lang w:val="es-ES" w:eastAsia="es-ES"/>
        </w:rPr>
        <w:t>Base V</w:t>
      </w:r>
      <w:r w:rsidRPr="0093584F">
        <w:rPr>
          <w:rFonts w:ascii="Arial" w:eastAsia="Calibri" w:hAnsi="Arial" w:cs="Arial"/>
          <w:sz w:val="24"/>
          <w:szCs w:val="24"/>
          <w:lang w:val="es-ES" w:eastAsia="es-ES"/>
        </w:rPr>
        <w:t xml:space="preserve">, Apartado A, párrafos primero y segundo de la Constitución; </w:t>
      </w:r>
      <w:r w:rsidRPr="0093584F">
        <w:rPr>
          <w:rFonts w:ascii="Arial" w:eastAsia="Calibri" w:hAnsi="Arial" w:cs="Arial"/>
          <w:sz w:val="24"/>
          <w:szCs w:val="24"/>
          <w:lang w:eastAsia="es-ES"/>
        </w:rPr>
        <w:t>29,</w:t>
      </w:r>
      <w:r w:rsidRPr="0093584F">
        <w:rPr>
          <w:rFonts w:ascii="Arial" w:eastAsia="Calibri" w:hAnsi="Arial" w:cs="Arial"/>
          <w:sz w:val="24"/>
          <w:szCs w:val="24"/>
          <w:lang w:val="es-ES" w:eastAsia="es-ES"/>
        </w:rPr>
        <w:t xml:space="preserve"> párrafo 1 y </w:t>
      </w:r>
      <w:r w:rsidRPr="0093584F">
        <w:rPr>
          <w:rFonts w:ascii="Arial" w:eastAsia="Calibri" w:hAnsi="Arial" w:cs="Arial"/>
          <w:sz w:val="24"/>
          <w:szCs w:val="24"/>
          <w:lang w:eastAsia="es-ES"/>
        </w:rPr>
        <w:t>47</w:t>
      </w:r>
      <w:r w:rsidRPr="0093584F">
        <w:rPr>
          <w:rFonts w:ascii="Arial" w:eastAsia="Calibri" w:hAnsi="Arial" w:cs="Arial"/>
          <w:sz w:val="24"/>
          <w:szCs w:val="24"/>
          <w:lang w:val="es-ES" w:eastAsia="es-ES"/>
        </w:rPr>
        <w:t>, párrafo 1 de la LGIPE; 453, 455 y 463 del Estatuto, se emite el siguiente:</w:t>
      </w:r>
    </w:p>
    <w:p w:rsidR="00ED5053" w:rsidRDefault="00ED5053" w:rsidP="00C4077B">
      <w:pPr>
        <w:spacing w:after="0" w:line="290" w:lineRule="exact"/>
        <w:jc w:val="both"/>
        <w:rPr>
          <w:rFonts w:ascii="Arial" w:eastAsia="Calibri" w:hAnsi="Arial" w:cs="Arial"/>
          <w:sz w:val="24"/>
          <w:szCs w:val="24"/>
          <w:lang w:val="es-ES" w:eastAsia="es-ES"/>
        </w:rPr>
      </w:pPr>
    </w:p>
    <w:p w:rsidR="00111DFC" w:rsidRPr="0093584F" w:rsidRDefault="00111DFC" w:rsidP="00C4077B">
      <w:pPr>
        <w:spacing w:after="0" w:line="290" w:lineRule="exact"/>
        <w:jc w:val="both"/>
        <w:rPr>
          <w:rFonts w:ascii="Arial" w:eastAsia="Calibri" w:hAnsi="Arial" w:cs="Arial"/>
          <w:sz w:val="24"/>
          <w:szCs w:val="24"/>
          <w:lang w:val="es-ES" w:eastAsia="es-ES"/>
        </w:rPr>
      </w:pPr>
    </w:p>
    <w:p w:rsidR="00ED5053" w:rsidRPr="00C4077B" w:rsidRDefault="00ED5053" w:rsidP="00C4077B">
      <w:pPr>
        <w:spacing w:after="0" w:line="290" w:lineRule="exact"/>
        <w:jc w:val="center"/>
        <w:rPr>
          <w:rFonts w:ascii="Arial" w:eastAsia="Calibri" w:hAnsi="Arial" w:cs="Arial"/>
          <w:b/>
          <w:bCs/>
          <w:sz w:val="24"/>
          <w:szCs w:val="24"/>
          <w:lang w:eastAsia="es-ES"/>
        </w:rPr>
      </w:pPr>
      <w:r w:rsidRPr="00C4077B">
        <w:rPr>
          <w:rFonts w:ascii="Arial" w:eastAsia="Calibri" w:hAnsi="Arial" w:cs="Arial"/>
          <w:b/>
          <w:bCs/>
          <w:sz w:val="24"/>
          <w:szCs w:val="24"/>
          <w:lang w:eastAsia="es-ES"/>
        </w:rPr>
        <w:t>A C U E R D O</w:t>
      </w:r>
    </w:p>
    <w:p w:rsidR="00ED5053" w:rsidRDefault="00ED5053" w:rsidP="00C4077B">
      <w:pPr>
        <w:spacing w:after="0" w:line="290" w:lineRule="exact"/>
        <w:rPr>
          <w:rFonts w:ascii="Arial" w:eastAsia="Calibri" w:hAnsi="Arial" w:cs="Arial"/>
          <w:b/>
          <w:bCs/>
          <w:sz w:val="24"/>
          <w:szCs w:val="24"/>
          <w:lang w:eastAsia="es-ES"/>
        </w:rPr>
      </w:pPr>
    </w:p>
    <w:p w:rsidR="00FF3E52" w:rsidRPr="0093584F" w:rsidRDefault="00FF3E52" w:rsidP="00C4077B">
      <w:pPr>
        <w:spacing w:after="0" w:line="290" w:lineRule="exact"/>
        <w:rPr>
          <w:rFonts w:ascii="Arial" w:eastAsia="Calibri" w:hAnsi="Arial" w:cs="Arial"/>
          <w:b/>
          <w:bCs/>
          <w:sz w:val="24"/>
          <w:szCs w:val="24"/>
          <w:lang w:eastAsia="es-ES"/>
        </w:rPr>
      </w:pPr>
    </w:p>
    <w:p w:rsidR="00ED5053" w:rsidRPr="0093584F" w:rsidRDefault="00ED5053" w:rsidP="00C4077B">
      <w:pPr>
        <w:spacing w:after="0" w:line="290" w:lineRule="exact"/>
        <w:jc w:val="both"/>
        <w:rPr>
          <w:rFonts w:ascii="Arial" w:eastAsia="Calibri" w:hAnsi="Arial" w:cs="Arial"/>
          <w:sz w:val="24"/>
          <w:szCs w:val="24"/>
          <w:lang w:val="es-ES" w:eastAsia="es-ES"/>
        </w:rPr>
      </w:pPr>
      <w:r w:rsidRPr="0093584F">
        <w:rPr>
          <w:rFonts w:ascii="Arial" w:eastAsia="Calibri" w:hAnsi="Arial" w:cs="Arial"/>
          <w:b/>
          <w:sz w:val="24"/>
          <w:szCs w:val="24"/>
          <w:lang w:val="es-ES" w:eastAsia="es-ES"/>
        </w:rPr>
        <w:t>Primero.</w:t>
      </w:r>
      <w:r w:rsidRPr="0093584F">
        <w:rPr>
          <w:rFonts w:ascii="Arial" w:eastAsia="Calibri" w:hAnsi="Arial" w:cs="Arial"/>
          <w:sz w:val="24"/>
          <w:szCs w:val="24"/>
          <w:lang w:val="es-ES" w:eastAsia="es-ES"/>
        </w:rPr>
        <w:t xml:space="preserve"> Se designa a la </w:t>
      </w:r>
      <w:r w:rsidR="000B3731">
        <w:rPr>
          <w:rFonts w:ascii="Arial" w:eastAsia="Calibri" w:hAnsi="Arial" w:cs="Arial"/>
          <w:sz w:val="24"/>
          <w:szCs w:val="24"/>
          <w:lang w:val="es-ES" w:eastAsia="es-ES"/>
        </w:rPr>
        <w:t xml:space="preserve">Dirección Ejecutiva de </w:t>
      </w:r>
      <w:r w:rsidR="0018565C">
        <w:rPr>
          <w:rFonts w:ascii="Arial" w:eastAsia="Calibri" w:hAnsi="Arial" w:cs="Arial"/>
          <w:sz w:val="24"/>
          <w:szCs w:val="24"/>
          <w:lang w:val="es-ES" w:eastAsia="es-ES"/>
        </w:rPr>
        <w:t xml:space="preserve">Prerrogativas y Partidos Políticos </w:t>
      </w:r>
      <w:r w:rsidRPr="0093584F">
        <w:rPr>
          <w:rFonts w:ascii="Arial" w:eastAsia="Calibri" w:hAnsi="Arial" w:cs="Arial"/>
          <w:sz w:val="24"/>
          <w:szCs w:val="24"/>
          <w:lang w:val="es-ES" w:eastAsia="es-ES"/>
        </w:rPr>
        <w:t>para que, por su conducto,</w:t>
      </w:r>
      <w:r w:rsidRPr="0093584F">
        <w:rPr>
          <w:rFonts w:ascii="Arial" w:eastAsia="Times New Roman" w:hAnsi="Arial" w:cs="Arial"/>
          <w:b/>
          <w:bCs/>
          <w:sz w:val="24"/>
          <w:szCs w:val="24"/>
          <w:lang w:eastAsia="es-ES"/>
        </w:rPr>
        <w:t xml:space="preserve"> </w:t>
      </w:r>
      <w:r w:rsidRPr="0093584F">
        <w:rPr>
          <w:rFonts w:ascii="Arial" w:eastAsia="Calibri" w:hAnsi="Arial" w:cs="Arial"/>
          <w:bCs/>
          <w:sz w:val="24"/>
          <w:szCs w:val="24"/>
          <w:lang w:eastAsia="es-ES"/>
        </w:rPr>
        <w:t xml:space="preserve">elabore el </w:t>
      </w:r>
      <w:r w:rsidR="00FF3E52">
        <w:rPr>
          <w:rFonts w:ascii="Arial" w:eastAsia="Calibri" w:hAnsi="Arial" w:cs="Arial"/>
          <w:bCs/>
          <w:sz w:val="24"/>
          <w:szCs w:val="24"/>
          <w:lang w:eastAsia="es-ES"/>
        </w:rPr>
        <w:t>Proyecto de Resolución</w:t>
      </w:r>
      <w:r w:rsidRPr="0093584F">
        <w:rPr>
          <w:rFonts w:ascii="Arial" w:eastAsia="Calibri" w:hAnsi="Arial" w:cs="Arial"/>
          <w:bCs/>
          <w:sz w:val="24"/>
          <w:szCs w:val="24"/>
          <w:lang w:eastAsia="es-ES"/>
        </w:rPr>
        <w:t xml:space="preserve"> que en Derecho proceda del recurso de inconformidad interpuesto por</w:t>
      </w:r>
      <w:r w:rsidR="00E373AA">
        <w:rPr>
          <w:rFonts w:ascii="Arial" w:eastAsia="Times New Roman" w:hAnsi="Arial" w:cs="Arial"/>
          <w:bCs/>
          <w:sz w:val="24"/>
          <w:szCs w:val="24"/>
          <w:lang w:eastAsia="es-ES"/>
        </w:rPr>
        <w:t xml:space="preserve"> </w:t>
      </w:r>
      <w:r w:rsidR="008E2573">
        <w:rPr>
          <w:rFonts w:ascii="Arial" w:eastAsia="Calibri" w:hAnsi="Arial" w:cs="Arial"/>
          <w:sz w:val="24"/>
          <w:szCs w:val="24"/>
          <w:highlight w:val="black"/>
          <w:lang w:val="es-ES" w:eastAsia="es-ES"/>
        </w:rPr>
        <w:t>Luis Arturo Carrillo Velasco</w:t>
      </w:r>
      <w:r w:rsidRPr="0093584F">
        <w:rPr>
          <w:rFonts w:ascii="Arial" w:eastAsia="Calibri" w:hAnsi="Arial" w:cs="Arial"/>
          <w:sz w:val="24"/>
          <w:szCs w:val="24"/>
          <w:lang w:val="es-ES" w:eastAsia="es-ES"/>
        </w:rPr>
        <w:t>,</w:t>
      </w:r>
      <w:bookmarkStart w:id="0" w:name="_GoBack"/>
      <w:bookmarkEnd w:id="0"/>
      <w:r w:rsidRPr="0093584F">
        <w:rPr>
          <w:rFonts w:ascii="Arial" w:eastAsia="Calibri" w:hAnsi="Arial" w:cs="Arial"/>
          <w:sz w:val="24"/>
          <w:szCs w:val="24"/>
          <w:lang w:val="es-ES" w:eastAsia="es-ES"/>
        </w:rPr>
        <w:t xml:space="preserve"> de conformidad con lo establecido en el artículo 455 del Estatuto.</w:t>
      </w:r>
    </w:p>
    <w:p w:rsidR="00ED5053" w:rsidRPr="0093584F" w:rsidRDefault="00ED5053" w:rsidP="00C4077B">
      <w:pPr>
        <w:spacing w:after="0" w:line="290" w:lineRule="exact"/>
        <w:jc w:val="both"/>
        <w:rPr>
          <w:rFonts w:ascii="Arial" w:eastAsia="Calibri" w:hAnsi="Arial" w:cs="Arial"/>
          <w:bCs/>
          <w:sz w:val="24"/>
          <w:szCs w:val="24"/>
          <w:lang w:eastAsia="es-ES"/>
        </w:rPr>
      </w:pPr>
    </w:p>
    <w:p w:rsidR="00ED5053" w:rsidRPr="0093584F" w:rsidRDefault="00ED5053" w:rsidP="00C4077B">
      <w:pPr>
        <w:spacing w:after="0" w:line="290" w:lineRule="exact"/>
        <w:jc w:val="both"/>
        <w:rPr>
          <w:rFonts w:ascii="Arial" w:eastAsia="Calibri" w:hAnsi="Arial" w:cs="Arial"/>
          <w:bCs/>
          <w:sz w:val="24"/>
          <w:szCs w:val="24"/>
          <w:lang w:eastAsia="es-ES"/>
        </w:rPr>
      </w:pPr>
      <w:r w:rsidRPr="0093584F">
        <w:rPr>
          <w:rFonts w:ascii="Arial" w:eastAsia="Calibri" w:hAnsi="Arial" w:cs="Arial"/>
          <w:b/>
          <w:sz w:val="24"/>
          <w:szCs w:val="24"/>
          <w:lang w:val="es-ES" w:eastAsia="es-ES"/>
        </w:rPr>
        <w:t>Segundo.</w:t>
      </w:r>
      <w:r w:rsidRPr="0093584F">
        <w:rPr>
          <w:rFonts w:ascii="Arial" w:eastAsia="Calibri" w:hAnsi="Arial" w:cs="Arial"/>
          <w:sz w:val="24"/>
          <w:szCs w:val="24"/>
          <w:lang w:val="es-ES" w:eastAsia="es-ES"/>
        </w:rPr>
        <w:t xml:space="preserve"> El referido órgano en uso de la atribución que ahora se le confiere deberá presentar ante esta Junta General Ejecutiva, para su </w:t>
      </w:r>
      <w:r w:rsidRPr="0093584F">
        <w:rPr>
          <w:rFonts w:ascii="Arial" w:eastAsia="Calibri" w:hAnsi="Arial" w:cs="Arial"/>
          <w:bCs/>
          <w:sz w:val="24"/>
          <w:szCs w:val="24"/>
          <w:lang w:eastAsia="es-ES"/>
        </w:rPr>
        <w:t xml:space="preserve">conocimiento, análisis y aprobación, el </w:t>
      </w:r>
      <w:r w:rsidR="00FF3E52">
        <w:rPr>
          <w:rFonts w:ascii="Arial" w:eastAsia="Calibri" w:hAnsi="Arial" w:cs="Arial"/>
          <w:bCs/>
          <w:sz w:val="24"/>
          <w:szCs w:val="24"/>
          <w:lang w:eastAsia="es-ES"/>
        </w:rPr>
        <w:t>Proyecto de Resolución</w:t>
      </w:r>
      <w:r w:rsidRPr="0093584F">
        <w:rPr>
          <w:rFonts w:ascii="Arial" w:eastAsia="Calibri" w:hAnsi="Arial" w:cs="Arial"/>
          <w:bCs/>
          <w:sz w:val="24"/>
          <w:szCs w:val="24"/>
          <w:lang w:eastAsia="es-ES"/>
        </w:rPr>
        <w:t xml:space="preserve"> señalado en el </w:t>
      </w:r>
      <w:r w:rsidR="00FF3E52">
        <w:rPr>
          <w:rFonts w:ascii="Arial" w:eastAsia="Calibri" w:hAnsi="Arial" w:cs="Arial"/>
          <w:bCs/>
          <w:sz w:val="24"/>
          <w:szCs w:val="24"/>
          <w:lang w:eastAsia="es-ES"/>
        </w:rPr>
        <w:t>Punto Primero</w:t>
      </w:r>
      <w:r w:rsidRPr="0093584F">
        <w:rPr>
          <w:rFonts w:ascii="Arial" w:eastAsia="Calibri" w:hAnsi="Arial" w:cs="Arial"/>
          <w:bCs/>
          <w:sz w:val="24"/>
          <w:szCs w:val="24"/>
          <w:lang w:eastAsia="es-ES"/>
        </w:rPr>
        <w:t xml:space="preserve"> de este Acuerdo.</w:t>
      </w:r>
    </w:p>
    <w:p w:rsidR="00ED5053" w:rsidRPr="0093584F" w:rsidRDefault="00ED5053" w:rsidP="00C4077B">
      <w:pPr>
        <w:spacing w:after="0" w:line="290" w:lineRule="exact"/>
        <w:jc w:val="both"/>
        <w:rPr>
          <w:rFonts w:ascii="Arial" w:eastAsia="Calibri" w:hAnsi="Arial" w:cs="Arial"/>
          <w:bCs/>
          <w:sz w:val="24"/>
          <w:szCs w:val="24"/>
          <w:lang w:eastAsia="es-ES"/>
        </w:rPr>
      </w:pPr>
    </w:p>
    <w:p w:rsidR="00ED5053" w:rsidRPr="0093584F" w:rsidRDefault="00ED5053" w:rsidP="00C4077B">
      <w:pPr>
        <w:spacing w:after="0" w:line="290" w:lineRule="exact"/>
        <w:jc w:val="both"/>
        <w:rPr>
          <w:rFonts w:ascii="Arial" w:eastAsia="Calibri" w:hAnsi="Arial" w:cs="Arial"/>
          <w:bCs/>
          <w:sz w:val="24"/>
          <w:szCs w:val="24"/>
          <w:lang w:eastAsia="es-ES"/>
        </w:rPr>
      </w:pPr>
      <w:r w:rsidRPr="0093584F">
        <w:rPr>
          <w:rFonts w:ascii="Arial" w:eastAsia="Calibri" w:hAnsi="Arial" w:cs="Arial"/>
          <w:b/>
          <w:bCs/>
          <w:sz w:val="24"/>
          <w:szCs w:val="24"/>
          <w:lang w:eastAsia="es-ES"/>
        </w:rPr>
        <w:t xml:space="preserve">Tercero. </w:t>
      </w:r>
      <w:r w:rsidRPr="0093584F">
        <w:rPr>
          <w:rFonts w:ascii="Arial" w:eastAsia="Calibri" w:hAnsi="Arial" w:cs="Arial"/>
          <w:bCs/>
          <w:sz w:val="24"/>
          <w:szCs w:val="24"/>
          <w:lang w:eastAsia="es-ES"/>
        </w:rPr>
        <w:t xml:space="preserve">Para los efectos precisados en los puntos anteriores, remítanse al órgano designado las constancias que integran el presente recurso de inconformidad, </w:t>
      </w:r>
      <w:r w:rsidR="00B74D5A">
        <w:rPr>
          <w:rFonts w:ascii="Arial" w:eastAsia="Calibri" w:hAnsi="Arial" w:cs="Arial"/>
          <w:bCs/>
          <w:sz w:val="24"/>
          <w:szCs w:val="24"/>
          <w:lang w:eastAsia="es-ES"/>
        </w:rPr>
        <w:t>e</w:t>
      </w:r>
      <w:r w:rsidRPr="0093584F">
        <w:rPr>
          <w:rFonts w:ascii="Arial" w:eastAsia="Calibri" w:hAnsi="Arial" w:cs="Arial"/>
          <w:bCs/>
          <w:sz w:val="24"/>
          <w:szCs w:val="24"/>
          <w:lang w:eastAsia="es-ES"/>
        </w:rPr>
        <w:t xml:space="preserve">l cual </w:t>
      </w:r>
      <w:r w:rsidR="00B74D5A">
        <w:rPr>
          <w:rFonts w:ascii="Arial" w:eastAsia="Calibri" w:hAnsi="Arial" w:cs="Arial"/>
          <w:bCs/>
          <w:sz w:val="24"/>
          <w:szCs w:val="24"/>
          <w:lang w:eastAsia="es-ES"/>
        </w:rPr>
        <w:t xml:space="preserve">tiene </w:t>
      </w:r>
      <w:r w:rsidRPr="0093584F">
        <w:rPr>
          <w:rFonts w:ascii="Arial" w:eastAsia="Calibri" w:hAnsi="Arial" w:cs="Arial"/>
          <w:bCs/>
          <w:sz w:val="24"/>
          <w:szCs w:val="24"/>
          <w:lang w:eastAsia="es-ES"/>
        </w:rPr>
        <w:t>asigna</w:t>
      </w:r>
      <w:r w:rsidR="00B74D5A">
        <w:rPr>
          <w:rFonts w:ascii="Arial" w:eastAsia="Calibri" w:hAnsi="Arial" w:cs="Arial"/>
          <w:bCs/>
          <w:sz w:val="24"/>
          <w:szCs w:val="24"/>
          <w:lang w:eastAsia="es-ES"/>
        </w:rPr>
        <w:t>do</w:t>
      </w:r>
      <w:r w:rsidRPr="0093584F">
        <w:rPr>
          <w:rFonts w:ascii="Arial" w:eastAsia="Calibri" w:hAnsi="Arial" w:cs="Arial"/>
          <w:bCs/>
          <w:sz w:val="24"/>
          <w:szCs w:val="24"/>
          <w:lang w:eastAsia="es-ES"/>
        </w:rPr>
        <w:t xml:space="preserve"> el número de expediente </w:t>
      </w:r>
      <w:r w:rsidR="004E3F2E" w:rsidRPr="0093584F">
        <w:rPr>
          <w:rFonts w:ascii="Arial" w:eastAsia="Calibri" w:hAnsi="Arial" w:cs="Arial"/>
          <w:bCs/>
          <w:sz w:val="24"/>
          <w:szCs w:val="24"/>
          <w:lang w:eastAsia="es-ES"/>
        </w:rPr>
        <w:t>INE/RI</w:t>
      </w:r>
      <w:r w:rsidR="00900399" w:rsidRPr="0093584F">
        <w:rPr>
          <w:rFonts w:ascii="Arial" w:eastAsia="Calibri" w:hAnsi="Arial" w:cs="Arial"/>
          <w:bCs/>
          <w:sz w:val="24"/>
          <w:szCs w:val="24"/>
          <w:lang w:eastAsia="es-ES"/>
        </w:rPr>
        <w:t>/</w:t>
      </w:r>
      <w:r w:rsidR="00B74D5A">
        <w:rPr>
          <w:rFonts w:ascii="Arial" w:eastAsia="Calibri" w:hAnsi="Arial" w:cs="Arial"/>
          <w:bCs/>
          <w:sz w:val="24"/>
          <w:szCs w:val="24"/>
          <w:lang w:eastAsia="es-ES"/>
        </w:rPr>
        <w:t>10</w:t>
      </w:r>
      <w:r w:rsidRPr="0093584F">
        <w:rPr>
          <w:rFonts w:ascii="Arial" w:eastAsia="Calibri" w:hAnsi="Arial" w:cs="Arial"/>
          <w:bCs/>
          <w:sz w:val="24"/>
          <w:szCs w:val="24"/>
          <w:lang w:eastAsia="es-ES"/>
        </w:rPr>
        <w:t>/2019.</w:t>
      </w:r>
    </w:p>
    <w:p w:rsidR="00ED5053" w:rsidRPr="0093584F" w:rsidRDefault="00ED5053" w:rsidP="00C4077B">
      <w:pPr>
        <w:spacing w:after="0" w:line="290" w:lineRule="exact"/>
        <w:jc w:val="both"/>
        <w:rPr>
          <w:rFonts w:ascii="Arial" w:eastAsia="Calibri" w:hAnsi="Arial" w:cs="Arial"/>
          <w:bCs/>
          <w:sz w:val="24"/>
          <w:szCs w:val="24"/>
          <w:lang w:eastAsia="es-ES"/>
        </w:rPr>
      </w:pPr>
    </w:p>
    <w:p w:rsidR="00ED5053" w:rsidRDefault="00ED5053" w:rsidP="00C4077B">
      <w:pPr>
        <w:autoSpaceDE w:val="0"/>
        <w:autoSpaceDN w:val="0"/>
        <w:adjustRightInd w:val="0"/>
        <w:spacing w:after="0" w:line="290" w:lineRule="exact"/>
        <w:jc w:val="both"/>
        <w:rPr>
          <w:rFonts w:ascii="Arial" w:eastAsia="Calibri" w:hAnsi="Arial" w:cs="Arial"/>
          <w:sz w:val="24"/>
          <w:szCs w:val="24"/>
          <w:lang w:val="es-ES" w:eastAsia="es-ES"/>
        </w:rPr>
      </w:pPr>
      <w:r w:rsidRPr="0093584F">
        <w:rPr>
          <w:rFonts w:ascii="Arial" w:eastAsia="Calibri" w:hAnsi="Arial" w:cs="Arial"/>
          <w:b/>
          <w:sz w:val="24"/>
          <w:szCs w:val="24"/>
          <w:lang w:val="es-ES" w:eastAsia="es-ES"/>
        </w:rPr>
        <w:t xml:space="preserve">Cuarto. </w:t>
      </w:r>
      <w:r w:rsidRPr="0093584F">
        <w:rPr>
          <w:rFonts w:ascii="Arial" w:eastAsia="Calibri" w:hAnsi="Arial" w:cs="Arial"/>
          <w:sz w:val="24"/>
          <w:szCs w:val="24"/>
          <w:lang w:val="es-ES" w:eastAsia="es-ES"/>
        </w:rPr>
        <w:t>Requiérase a la Dirección Jurídica para que remita a la</w:t>
      </w:r>
      <w:r w:rsidR="003F2492" w:rsidRPr="0093584F">
        <w:rPr>
          <w:rFonts w:ascii="Arial" w:eastAsia="Calibri" w:hAnsi="Arial" w:cs="Arial"/>
          <w:sz w:val="24"/>
          <w:szCs w:val="24"/>
          <w:lang w:val="es-ES" w:eastAsia="es-ES"/>
        </w:rPr>
        <w:t xml:space="preserve"> </w:t>
      </w:r>
      <w:r w:rsidR="008F6057" w:rsidRPr="0093584F">
        <w:rPr>
          <w:rFonts w:ascii="Arial" w:eastAsia="Calibri" w:hAnsi="Arial" w:cs="Arial"/>
          <w:sz w:val="24"/>
          <w:szCs w:val="24"/>
          <w:lang w:val="es-ES" w:eastAsia="es-ES"/>
        </w:rPr>
        <w:t xml:space="preserve">Dirección Ejecutiva </w:t>
      </w:r>
      <w:r w:rsidR="008F6057" w:rsidRPr="00E1190A">
        <w:rPr>
          <w:rFonts w:ascii="Arial" w:eastAsia="Calibri" w:hAnsi="Arial" w:cs="Arial"/>
          <w:sz w:val="24"/>
          <w:szCs w:val="24"/>
          <w:lang w:val="es-ES" w:eastAsia="es-ES"/>
        </w:rPr>
        <w:t>de</w:t>
      </w:r>
      <w:r w:rsidR="0052553F">
        <w:rPr>
          <w:rFonts w:ascii="Arial" w:eastAsia="Calibri" w:hAnsi="Arial" w:cs="Arial"/>
          <w:sz w:val="24"/>
          <w:szCs w:val="24"/>
          <w:lang w:val="es-ES" w:eastAsia="es-ES"/>
        </w:rPr>
        <w:t>signada</w:t>
      </w:r>
      <w:r w:rsidRPr="0093584F">
        <w:rPr>
          <w:rFonts w:ascii="Arial" w:eastAsia="Calibri" w:hAnsi="Arial" w:cs="Arial"/>
          <w:sz w:val="24"/>
          <w:szCs w:val="24"/>
          <w:lang w:val="es-ES" w:eastAsia="es-ES"/>
        </w:rPr>
        <w:t xml:space="preserve">, las constancias que integran el expediente </w:t>
      </w:r>
      <w:r w:rsidR="00240F33" w:rsidRPr="0093584F">
        <w:rPr>
          <w:rFonts w:ascii="Arial" w:eastAsia="Calibri" w:hAnsi="Arial" w:cs="Arial"/>
          <w:sz w:val="24"/>
          <w:szCs w:val="24"/>
          <w:lang w:val="es-ES" w:eastAsia="es-ES"/>
        </w:rPr>
        <w:t>conformado con motivo de la presentación del recurso de mérito</w:t>
      </w:r>
      <w:r w:rsidR="001D4321">
        <w:rPr>
          <w:rFonts w:ascii="Arial" w:eastAsia="Calibri" w:hAnsi="Arial" w:cs="Arial"/>
          <w:sz w:val="24"/>
          <w:szCs w:val="24"/>
          <w:lang w:val="es-ES" w:eastAsia="es-ES"/>
        </w:rPr>
        <w:t>, así como aquellas que conforman el procedimiento laboral disciplinario INE/DEA/PLD/JDE16-CDMX/032/2018</w:t>
      </w:r>
      <w:r w:rsidRPr="0093584F">
        <w:rPr>
          <w:rFonts w:ascii="Arial" w:eastAsia="Calibri" w:hAnsi="Arial" w:cs="Arial"/>
          <w:sz w:val="24"/>
          <w:szCs w:val="24"/>
          <w:lang w:val="es-ES" w:eastAsia="es-ES"/>
        </w:rPr>
        <w:t>.</w:t>
      </w:r>
    </w:p>
    <w:p w:rsidR="00FD27C8" w:rsidRDefault="00FD27C8" w:rsidP="00C4077B">
      <w:pPr>
        <w:autoSpaceDE w:val="0"/>
        <w:autoSpaceDN w:val="0"/>
        <w:adjustRightInd w:val="0"/>
        <w:spacing w:after="0" w:line="290" w:lineRule="exact"/>
        <w:jc w:val="both"/>
        <w:rPr>
          <w:rFonts w:ascii="Arial" w:eastAsia="Calibri" w:hAnsi="Arial" w:cs="Arial"/>
          <w:sz w:val="24"/>
          <w:szCs w:val="24"/>
          <w:lang w:val="es-ES" w:eastAsia="es-ES"/>
        </w:rPr>
      </w:pPr>
    </w:p>
    <w:p w:rsidR="00FD27C8" w:rsidRPr="00FD27C8" w:rsidRDefault="00FD27C8" w:rsidP="00C4077B">
      <w:pPr>
        <w:autoSpaceDE w:val="0"/>
        <w:autoSpaceDN w:val="0"/>
        <w:adjustRightInd w:val="0"/>
        <w:spacing w:after="0" w:line="290" w:lineRule="exact"/>
        <w:jc w:val="both"/>
        <w:rPr>
          <w:rFonts w:ascii="Arial" w:eastAsia="Calibri" w:hAnsi="Arial" w:cs="Arial"/>
          <w:b/>
          <w:sz w:val="24"/>
          <w:szCs w:val="24"/>
          <w:lang w:val="es-ES" w:eastAsia="es-ES"/>
        </w:rPr>
      </w:pPr>
      <w:r w:rsidRPr="00FD27C8">
        <w:rPr>
          <w:rFonts w:ascii="Arial" w:eastAsia="Calibri" w:hAnsi="Arial" w:cs="Arial"/>
          <w:b/>
          <w:sz w:val="24"/>
          <w:szCs w:val="24"/>
          <w:lang w:val="es-ES" w:eastAsia="es-ES"/>
        </w:rPr>
        <w:t>Quinto.</w:t>
      </w:r>
      <w:r w:rsidRPr="00FD27C8">
        <w:rPr>
          <w:rFonts w:ascii="Arial" w:eastAsia="Calibri" w:hAnsi="Arial" w:cs="Arial"/>
          <w:sz w:val="24"/>
          <w:szCs w:val="24"/>
          <w:lang w:val="es-ES" w:eastAsia="es-ES"/>
        </w:rPr>
        <w:t xml:space="preserve"> Notifíquese </w:t>
      </w:r>
      <w:r>
        <w:rPr>
          <w:rFonts w:ascii="Arial" w:eastAsia="Calibri" w:hAnsi="Arial" w:cs="Arial"/>
          <w:sz w:val="24"/>
          <w:szCs w:val="24"/>
          <w:lang w:val="es-ES" w:eastAsia="es-ES"/>
        </w:rPr>
        <w:t xml:space="preserve">el </w:t>
      </w:r>
      <w:r w:rsidR="00FF3E52">
        <w:rPr>
          <w:rFonts w:ascii="Arial" w:eastAsia="Calibri" w:hAnsi="Arial" w:cs="Arial"/>
          <w:sz w:val="24"/>
          <w:szCs w:val="24"/>
          <w:lang w:val="es-ES" w:eastAsia="es-ES"/>
        </w:rPr>
        <w:t>presente Acuerdo</w:t>
      </w:r>
      <w:r>
        <w:rPr>
          <w:rFonts w:ascii="Arial" w:eastAsia="Calibri" w:hAnsi="Arial" w:cs="Arial"/>
          <w:sz w:val="24"/>
          <w:szCs w:val="24"/>
          <w:lang w:val="es-ES" w:eastAsia="es-ES"/>
        </w:rPr>
        <w:t xml:space="preserve"> al recurrente y a la Dirección Ejecutiva de Administración</w:t>
      </w:r>
      <w:r w:rsidR="004404F6">
        <w:rPr>
          <w:rFonts w:ascii="Arial" w:eastAsia="Calibri" w:hAnsi="Arial" w:cs="Arial"/>
          <w:sz w:val="24"/>
          <w:szCs w:val="24"/>
          <w:lang w:val="es-ES" w:eastAsia="es-ES"/>
        </w:rPr>
        <w:t xml:space="preserve"> como </w:t>
      </w:r>
      <w:r w:rsidR="009C3227">
        <w:rPr>
          <w:rFonts w:ascii="Arial" w:eastAsia="Calibri" w:hAnsi="Arial" w:cs="Arial"/>
          <w:sz w:val="24"/>
          <w:szCs w:val="24"/>
          <w:lang w:val="es-ES" w:eastAsia="es-ES"/>
        </w:rPr>
        <w:t>corresponda.</w:t>
      </w:r>
      <w:r w:rsidR="00FF3E52">
        <w:rPr>
          <w:rFonts w:ascii="Arial" w:eastAsia="Calibri" w:hAnsi="Arial" w:cs="Arial"/>
          <w:sz w:val="24"/>
          <w:szCs w:val="24"/>
          <w:lang w:val="es-ES" w:eastAsia="es-ES"/>
        </w:rPr>
        <w:t xml:space="preserve"> </w:t>
      </w:r>
    </w:p>
    <w:p w:rsidR="00764C21" w:rsidRDefault="00764C21" w:rsidP="00C1754C">
      <w:pPr>
        <w:autoSpaceDE w:val="0"/>
        <w:autoSpaceDN w:val="0"/>
        <w:adjustRightInd w:val="0"/>
        <w:spacing w:after="0" w:line="304" w:lineRule="exact"/>
        <w:jc w:val="both"/>
        <w:rPr>
          <w:rFonts w:ascii="Arial" w:eastAsia="Calibri" w:hAnsi="Arial" w:cs="Arial"/>
          <w:sz w:val="24"/>
          <w:szCs w:val="24"/>
          <w:lang w:val="es-ES" w:eastAsia="es-ES"/>
        </w:rPr>
      </w:pPr>
    </w:p>
    <w:p w:rsidR="00111523" w:rsidRDefault="00FD27C8" w:rsidP="00C4077B">
      <w:pPr>
        <w:autoSpaceDE w:val="0"/>
        <w:autoSpaceDN w:val="0"/>
        <w:adjustRightInd w:val="0"/>
        <w:spacing w:after="0" w:line="250" w:lineRule="exact"/>
        <w:jc w:val="both"/>
        <w:rPr>
          <w:rFonts w:ascii="Arial" w:eastAsia="Calibri" w:hAnsi="Arial" w:cs="Arial"/>
          <w:sz w:val="24"/>
          <w:szCs w:val="24"/>
          <w:lang w:val="es-ES" w:eastAsia="es-ES"/>
        </w:rPr>
      </w:pPr>
      <w:r>
        <w:rPr>
          <w:rFonts w:ascii="Arial" w:eastAsia="Calibri" w:hAnsi="Arial" w:cs="Arial"/>
          <w:b/>
          <w:sz w:val="24"/>
          <w:szCs w:val="24"/>
          <w:lang w:eastAsia="es-ES"/>
        </w:rPr>
        <w:lastRenderedPageBreak/>
        <w:t>Sexto</w:t>
      </w:r>
      <w:r w:rsidR="00764C21" w:rsidRPr="00C4077B">
        <w:rPr>
          <w:rFonts w:ascii="Arial" w:eastAsia="Calibri" w:hAnsi="Arial" w:cs="Arial"/>
          <w:b/>
          <w:sz w:val="24"/>
          <w:szCs w:val="24"/>
          <w:lang w:eastAsia="es-ES"/>
        </w:rPr>
        <w:t>.</w:t>
      </w:r>
      <w:r w:rsidR="00764C21">
        <w:rPr>
          <w:rFonts w:ascii="Arial" w:eastAsia="Calibri" w:hAnsi="Arial" w:cs="Arial"/>
          <w:sz w:val="24"/>
          <w:szCs w:val="24"/>
          <w:lang w:eastAsia="es-ES"/>
        </w:rPr>
        <w:t xml:space="preserve"> </w:t>
      </w:r>
      <w:r w:rsidR="0045015A" w:rsidRPr="0093584F">
        <w:rPr>
          <w:rFonts w:ascii="Arial" w:eastAsia="Calibri" w:hAnsi="Arial" w:cs="Arial"/>
          <w:sz w:val="24"/>
          <w:szCs w:val="24"/>
          <w:lang w:eastAsia="es-ES"/>
        </w:rPr>
        <w:t xml:space="preserve">Publíquese el presente Acuerdo en la Gaceta del Instituto Nacional Electoral y en los estrados del Instituto, </w:t>
      </w:r>
      <w:r w:rsidR="0045015A">
        <w:rPr>
          <w:rFonts w:ascii="Arial" w:eastAsia="Calibri" w:hAnsi="Arial" w:cs="Arial"/>
          <w:sz w:val="24"/>
          <w:szCs w:val="24"/>
          <w:lang w:eastAsia="es-ES"/>
        </w:rPr>
        <w:t xml:space="preserve">en la versión publica correspondiente, </w:t>
      </w:r>
      <w:r w:rsidR="0045015A" w:rsidRPr="0093584F">
        <w:rPr>
          <w:rFonts w:ascii="Arial" w:eastAsia="Calibri" w:hAnsi="Arial" w:cs="Arial"/>
          <w:sz w:val="24"/>
          <w:szCs w:val="24"/>
          <w:lang w:eastAsia="es-ES"/>
        </w:rPr>
        <w:t>de</w:t>
      </w:r>
      <w:r w:rsidR="0045015A">
        <w:rPr>
          <w:rFonts w:ascii="Arial" w:eastAsia="Calibri" w:hAnsi="Arial" w:cs="Arial"/>
          <w:sz w:val="24"/>
          <w:szCs w:val="24"/>
          <w:lang w:eastAsia="es-ES"/>
        </w:rPr>
        <w:t xml:space="preserve"> conformidad a lo señalado en los</w:t>
      </w:r>
      <w:r w:rsidR="0045015A" w:rsidRPr="0093584F">
        <w:rPr>
          <w:rFonts w:ascii="Arial" w:eastAsia="Calibri" w:hAnsi="Arial" w:cs="Arial"/>
          <w:sz w:val="24"/>
          <w:szCs w:val="24"/>
          <w:lang w:eastAsia="es-ES"/>
        </w:rPr>
        <w:t xml:space="preserve"> artículo</w:t>
      </w:r>
      <w:r w:rsidR="0045015A">
        <w:rPr>
          <w:rFonts w:ascii="Arial" w:eastAsia="Calibri" w:hAnsi="Arial" w:cs="Arial"/>
          <w:sz w:val="24"/>
          <w:szCs w:val="24"/>
          <w:lang w:eastAsia="es-ES"/>
        </w:rPr>
        <w:t>s</w:t>
      </w:r>
      <w:r w:rsidR="0045015A" w:rsidRPr="0093584F">
        <w:rPr>
          <w:rFonts w:ascii="Arial" w:eastAsia="Calibri" w:hAnsi="Arial" w:cs="Arial"/>
          <w:sz w:val="24"/>
          <w:szCs w:val="24"/>
          <w:lang w:eastAsia="es-ES"/>
        </w:rPr>
        <w:t xml:space="preserve"> 25, numeral I del Reglamento de Sesiones de la Junta General Ejecutiva </w:t>
      </w:r>
      <w:r w:rsidR="0045015A">
        <w:rPr>
          <w:rFonts w:ascii="Arial" w:eastAsia="Calibri" w:hAnsi="Arial" w:cs="Arial"/>
          <w:sz w:val="24"/>
          <w:szCs w:val="24"/>
          <w:lang w:eastAsia="es-ES"/>
        </w:rPr>
        <w:t xml:space="preserve">del Instituto Nacional Electoral, así como 23 y 68 de la Ley General de Transparencia y Acceso a la Información Pública y 11, párrafo 4 del Reglamento </w:t>
      </w:r>
      <w:r w:rsidR="0045015A" w:rsidRPr="00E16D10">
        <w:rPr>
          <w:rFonts w:ascii="Arial" w:eastAsia="Calibri" w:hAnsi="Arial" w:cs="Arial"/>
          <w:sz w:val="24"/>
          <w:szCs w:val="24"/>
          <w:lang w:eastAsia="es-ES"/>
        </w:rPr>
        <w:t xml:space="preserve">del Instituto Nacional Electoral en materia de transparencia y </w:t>
      </w:r>
      <w:r w:rsidR="0045015A">
        <w:rPr>
          <w:rFonts w:ascii="Arial" w:eastAsia="Calibri" w:hAnsi="Arial" w:cs="Arial"/>
          <w:sz w:val="24"/>
          <w:szCs w:val="24"/>
          <w:lang w:eastAsia="es-ES"/>
        </w:rPr>
        <w:t>acceso a la información pública</w:t>
      </w:r>
      <w:r w:rsidR="0045015A" w:rsidRPr="0093584F">
        <w:rPr>
          <w:rFonts w:ascii="Arial" w:eastAsia="Calibri" w:hAnsi="Arial" w:cs="Arial"/>
          <w:sz w:val="24"/>
          <w:szCs w:val="24"/>
          <w:lang w:eastAsia="es-ES"/>
        </w:rPr>
        <w:t>.</w:t>
      </w:r>
    </w:p>
    <w:p w:rsidR="00C1754C" w:rsidRDefault="00C1754C" w:rsidP="00C4077B">
      <w:pPr>
        <w:autoSpaceDE w:val="0"/>
        <w:autoSpaceDN w:val="0"/>
        <w:adjustRightInd w:val="0"/>
        <w:spacing w:after="0" w:line="250" w:lineRule="exact"/>
        <w:jc w:val="both"/>
        <w:rPr>
          <w:rFonts w:ascii="Arial" w:eastAsia="Calibri" w:hAnsi="Arial" w:cs="Arial"/>
          <w:sz w:val="24"/>
          <w:szCs w:val="24"/>
          <w:lang w:val="es-ES" w:eastAsia="es-ES"/>
        </w:rPr>
      </w:pPr>
    </w:p>
    <w:p w:rsidR="00C1754C" w:rsidRPr="00C1754C" w:rsidRDefault="00C1754C" w:rsidP="00C4077B">
      <w:pPr>
        <w:tabs>
          <w:tab w:val="left" w:pos="8505"/>
        </w:tabs>
        <w:autoSpaceDE w:val="0"/>
        <w:autoSpaceDN w:val="0"/>
        <w:adjustRightInd w:val="0"/>
        <w:spacing w:after="0" w:line="250" w:lineRule="exact"/>
        <w:jc w:val="both"/>
        <w:rPr>
          <w:rFonts w:ascii="Arial" w:eastAsia="Times New Roman" w:hAnsi="Arial" w:cs="Arial"/>
          <w:sz w:val="24"/>
          <w:szCs w:val="24"/>
          <w:lang w:eastAsia="es-ES"/>
        </w:rPr>
      </w:pPr>
      <w:r w:rsidRPr="00C1754C">
        <w:rPr>
          <w:rFonts w:ascii="Arial" w:eastAsia="Times New Roman" w:hAnsi="Arial" w:cs="Arial"/>
          <w:sz w:val="24"/>
          <w:szCs w:val="24"/>
          <w:lang w:eastAsia="es-ES"/>
        </w:rPr>
        <w:t>El presente Acuerdo fue aprobado en sesión ordinaria de la Junta General Ejecutiva celebrada el 26 de agosto de 2019, por votación unánime de los Directores Ejecutivos del Registro Federal de Electores, Ingeniero René Miranda Jaimes; de Prerrogativas y Partidos Políticos, Maestro Patricio Ballados Villagómez; de la encargada del Despacho de la Dirección Ejecutiva de Organización Electoral, Licenciada María del Carmen Colín Martínez; del Servicio Profesional Electoral Nacional, Doctor José Rafael Martínez Puón; de Capacitación Electoral y Educación Cívica, Maestro Roberto Heycher Cardiel Soto; de Administración, Licenciado Bogart Cristóbal Montiel Reyna; del encargado del Despacho de la Unidad Técnica de Fiscalización, Licenciado Carlos Alberto Morales Domínguez; de los Directores de las Unidades Técnicas de lo Contencioso Electoral, Maestro Carlos Alberto Ferrer Silva y de Vinculación con los Organismos Públicos Locales, Maestro Miguel Ángel Patiño Arroyo; del Secretario Ejecutivo y Secretario de la Junta General Ejecutiva, Licenciado Edmundo Jacobo Molina y del Consejero Presidente y Presidente de la Junta General Ejecutiva, Doctor Lorenzo Córdova Vianello.</w:t>
      </w:r>
    </w:p>
    <w:p w:rsidR="00C1754C" w:rsidRPr="00C1754C" w:rsidRDefault="00C1754C" w:rsidP="00C1754C">
      <w:pPr>
        <w:autoSpaceDE w:val="0"/>
        <w:autoSpaceDN w:val="0"/>
        <w:adjustRightInd w:val="0"/>
        <w:spacing w:after="0" w:line="306" w:lineRule="exact"/>
        <w:jc w:val="both"/>
        <w:rPr>
          <w:rFonts w:ascii="Arial" w:eastAsia="Times New Roman" w:hAnsi="Arial" w:cs="Arial"/>
          <w:sz w:val="24"/>
          <w:szCs w:val="24"/>
          <w:lang w:val="es-ES" w:eastAsia="es-ES"/>
        </w:rPr>
      </w:pPr>
    </w:p>
    <w:p w:rsidR="00C1754C" w:rsidRPr="00C1754C" w:rsidRDefault="00C1754C" w:rsidP="00C1754C">
      <w:pPr>
        <w:autoSpaceDE w:val="0"/>
        <w:autoSpaceDN w:val="0"/>
        <w:adjustRightInd w:val="0"/>
        <w:spacing w:after="0" w:line="306" w:lineRule="exact"/>
        <w:jc w:val="both"/>
        <w:rPr>
          <w:rFonts w:ascii="Arial" w:eastAsia="Times New Roman" w:hAnsi="Arial" w:cs="Arial"/>
          <w:sz w:val="24"/>
          <w:szCs w:val="24"/>
          <w:lang w:val="es-ES" w:eastAsia="es-ES"/>
        </w:rPr>
      </w:pPr>
    </w:p>
    <w:tbl>
      <w:tblPr>
        <w:tblW w:w="4737" w:type="pct"/>
        <w:jc w:val="center"/>
        <w:tblCellMar>
          <w:left w:w="70" w:type="dxa"/>
          <w:right w:w="70" w:type="dxa"/>
        </w:tblCellMar>
        <w:tblLook w:val="04A0" w:firstRow="1" w:lastRow="0" w:firstColumn="1" w:lastColumn="0" w:noHBand="0" w:noVBand="1"/>
      </w:tblPr>
      <w:tblGrid>
        <w:gridCol w:w="4476"/>
        <w:gridCol w:w="3897"/>
      </w:tblGrid>
      <w:tr w:rsidR="00C1754C" w:rsidRPr="00C1754C" w:rsidTr="002B338A">
        <w:trPr>
          <w:jc w:val="center"/>
        </w:trPr>
        <w:tc>
          <w:tcPr>
            <w:tcW w:w="2673" w:type="pct"/>
            <w:vAlign w:val="center"/>
          </w:tcPr>
          <w:p w:rsidR="00C1754C" w:rsidRPr="00C1754C" w:rsidRDefault="00C1754C" w:rsidP="00C1754C">
            <w:pPr>
              <w:spacing w:after="0" w:line="260" w:lineRule="exact"/>
              <w:ind w:left="70"/>
              <w:jc w:val="center"/>
              <w:rPr>
                <w:rFonts w:ascii="Arial" w:eastAsia="Times New Roman" w:hAnsi="Arial" w:cs="Arial"/>
                <w:b/>
                <w:bCs/>
                <w:sz w:val="24"/>
                <w:szCs w:val="24"/>
                <w:lang w:val="es-ES" w:eastAsia="es-ES"/>
              </w:rPr>
            </w:pPr>
            <w:r w:rsidRPr="00C1754C">
              <w:rPr>
                <w:rFonts w:ascii="Arial" w:eastAsia="Times New Roman" w:hAnsi="Arial" w:cs="Arial"/>
                <w:b/>
                <w:bCs/>
                <w:sz w:val="24"/>
                <w:szCs w:val="24"/>
                <w:lang w:val="es-ES" w:eastAsia="es-ES"/>
              </w:rPr>
              <w:t>EL CONSEJERO PRESIDENTE DEL CONSEJO GENERAL Y PRESIDENTE DE LA JUNTA GENERAL EJECUTIVA DEL INSTITUTO NACIONAL ELECTORAL</w:t>
            </w:r>
          </w:p>
          <w:p w:rsidR="00C1754C" w:rsidRPr="00C1754C" w:rsidRDefault="00C1754C" w:rsidP="00C1754C">
            <w:pPr>
              <w:spacing w:after="0" w:line="260" w:lineRule="exact"/>
              <w:ind w:left="70"/>
              <w:jc w:val="center"/>
              <w:rPr>
                <w:rFonts w:ascii="Arial" w:eastAsia="Times New Roman" w:hAnsi="Arial" w:cs="Arial"/>
                <w:b/>
                <w:bCs/>
                <w:sz w:val="24"/>
                <w:szCs w:val="24"/>
                <w:lang w:val="es-ES" w:eastAsia="es-ES"/>
              </w:rPr>
            </w:pPr>
          </w:p>
          <w:p w:rsidR="00C1754C" w:rsidRPr="00C1754C" w:rsidRDefault="00C1754C" w:rsidP="00C1754C">
            <w:pPr>
              <w:spacing w:after="0" w:line="260" w:lineRule="exact"/>
              <w:ind w:left="70"/>
              <w:jc w:val="center"/>
              <w:rPr>
                <w:rFonts w:ascii="Arial" w:eastAsia="Times New Roman" w:hAnsi="Arial" w:cs="Arial"/>
                <w:b/>
                <w:bCs/>
                <w:sz w:val="24"/>
                <w:szCs w:val="24"/>
                <w:lang w:val="es-ES" w:eastAsia="es-ES"/>
              </w:rPr>
            </w:pPr>
          </w:p>
          <w:p w:rsidR="00C1754C" w:rsidRPr="00C1754C" w:rsidRDefault="00C1754C" w:rsidP="00C1754C">
            <w:pPr>
              <w:spacing w:after="0" w:line="260" w:lineRule="exact"/>
              <w:ind w:left="70"/>
              <w:jc w:val="center"/>
              <w:rPr>
                <w:rFonts w:ascii="Arial" w:eastAsia="Times New Roman" w:hAnsi="Arial" w:cs="Arial"/>
                <w:b/>
                <w:bCs/>
                <w:sz w:val="24"/>
                <w:szCs w:val="24"/>
                <w:lang w:val="es-ES" w:eastAsia="es-ES"/>
              </w:rPr>
            </w:pPr>
          </w:p>
          <w:p w:rsidR="00C1754C" w:rsidRPr="00C1754C" w:rsidRDefault="00C1754C" w:rsidP="00C1754C">
            <w:pPr>
              <w:spacing w:after="0" w:line="260" w:lineRule="exact"/>
              <w:ind w:left="70"/>
              <w:jc w:val="center"/>
              <w:rPr>
                <w:rFonts w:ascii="Arial" w:eastAsia="Times New Roman" w:hAnsi="Arial" w:cs="Arial"/>
                <w:b/>
                <w:bCs/>
                <w:sz w:val="24"/>
                <w:szCs w:val="24"/>
                <w:lang w:val="es-ES" w:eastAsia="es-ES"/>
              </w:rPr>
            </w:pPr>
          </w:p>
          <w:p w:rsidR="00C1754C" w:rsidRPr="00C1754C" w:rsidRDefault="00C1754C" w:rsidP="00C1754C">
            <w:pPr>
              <w:spacing w:after="0" w:line="260" w:lineRule="exact"/>
              <w:ind w:left="70"/>
              <w:jc w:val="center"/>
              <w:rPr>
                <w:rFonts w:ascii="Arial" w:eastAsia="Times New Roman" w:hAnsi="Arial" w:cs="Arial"/>
                <w:b/>
                <w:bCs/>
                <w:sz w:val="24"/>
                <w:szCs w:val="24"/>
                <w:lang w:val="es-ES" w:eastAsia="es-ES"/>
              </w:rPr>
            </w:pPr>
          </w:p>
          <w:p w:rsidR="00C1754C" w:rsidRPr="00C1754C" w:rsidRDefault="00C1754C" w:rsidP="00C1754C">
            <w:pPr>
              <w:spacing w:after="0" w:line="260" w:lineRule="exact"/>
              <w:ind w:left="70"/>
              <w:jc w:val="center"/>
              <w:rPr>
                <w:rFonts w:ascii="Arial" w:eastAsia="Times New Roman" w:hAnsi="Arial" w:cs="Arial"/>
                <w:b/>
                <w:bCs/>
                <w:sz w:val="24"/>
                <w:szCs w:val="24"/>
                <w:lang w:val="es-ES" w:eastAsia="es-ES"/>
              </w:rPr>
            </w:pPr>
          </w:p>
          <w:p w:rsidR="00C1754C" w:rsidRPr="00C1754C" w:rsidRDefault="00C1754C" w:rsidP="00C1754C">
            <w:pPr>
              <w:spacing w:after="0" w:line="260" w:lineRule="exact"/>
              <w:ind w:left="70"/>
              <w:jc w:val="center"/>
              <w:rPr>
                <w:rFonts w:ascii="Arial" w:eastAsia="Times New Roman" w:hAnsi="Arial" w:cs="Arial"/>
                <w:b/>
                <w:bCs/>
                <w:sz w:val="24"/>
                <w:szCs w:val="24"/>
                <w:lang w:val="es-ES" w:eastAsia="es-ES"/>
              </w:rPr>
            </w:pPr>
            <w:r w:rsidRPr="00C1754C">
              <w:rPr>
                <w:rFonts w:ascii="Arial" w:eastAsia="Times New Roman" w:hAnsi="Arial" w:cs="Arial"/>
                <w:b/>
                <w:bCs/>
                <w:sz w:val="24"/>
                <w:szCs w:val="24"/>
                <w:lang w:val="es-ES" w:eastAsia="es-ES"/>
              </w:rPr>
              <w:t>DR. LORENZO CÓRDOVA</w:t>
            </w:r>
          </w:p>
          <w:p w:rsidR="00C1754C" w:rsidRPr="00C1754C" w:rsidRDefault="00C1754C" w:rsidP="00C1754C">
            <w:pPr>
              <w:spacing w:after="0" w:line="280" w:lineRule="exact"/>
              <w:jc w:val="center"/>
              <w:rPr>
                <w:rFonts w:ascii="Arial" w:eastAsia="Times New Roman" w:hAnsi="Arial" w:cs="Arial"/>
                <w:b/>
                <w:sz w:val="24"/>
                <w:szCs w:val="24"/>
                <w:lang w:val="es-ES" w:eastAsia="es-ES"/>
              </w:rPr>
            </w:pPr>
            <w:r w:rsidRPr="00C1754C">
              <w:rPr>
                <w:rFonts w:ascii="Arial" w:eastAsia="Times New Roman" w:hAnsi="Arial" w:cs="Arial"/>
                <w:b/>
                <w:bCs/>
                <w:sz w:val="24"/>
                <w:szCs w:val="24"/>
                <w:lang w:val="es-ES" w:eastAsia="es-ES"/>
              </w:rPr>
              <w:t>VIANELLO</w:t>
            </w:r>
          </w:p>
        </w:tc>
        <w:tc>
          <w:tcPr>
            <w:tcW w:w="2327" w:type="pct"/>
            <w:vAlign w:val="center"/>
          </w:tcPr>
          <w:p w:rsidR="00C1754C" w:rsidRPr="00C1754C" w:rsidRDefault="00C1754C" w:rsidP="00C1754C">
            <w:pPr>
              <w:spacing w:after="0" w:line="260" w:lineRule="exact"/>
              <w:ind w:left="70"/>
              <w:jc w:val="center"/>
              <w:rPr>
                <w:rFonts w:ascii="Arial" w:eastAsia="Times New Roman" w:hAnsi="Arial" w:cs="Arial"/>
                <w:b/>
                <w:bCs/>
                <w:sz w:val="24"/>
                <w:szCs w:val="24"/>
                <w:lang w:val="es-ES" w:eastAsia="es-ES"/>
              </w:rPr>
            </w:pPr>
            <w:r w:rsidRPr="00C1754C">
              <w:rPr>
                <w:rFonts w:ascii="Arial" w:eastAsia="Times New Roman" w:hAnsi="Arial" w:cs="Arial"/>
                <w:b/>
                <w:bCs/>
                <w:sz w:val="24"/>
                <w:szCs w:val="24"/>
                <w:lang w:val="es-ES" w:eastAsia="es-ES"/>
              </w:rPr>
              <w:t>EL SECRETARIO EJECUTIVO Y SECRETARIO DE LA JUNTA GENERAL EJECUTIVA DEL INSTITUTO NACIONAL ELECTORAL</w:t>
            </w:r>
          </w:p>
          <w:p w:rsidR="00C1754C" w:rsidRPr="00C1754C" w:rsidRDefault="00C1754C" w:rsidP="00C1754C">
            <w:pPr>
              <w:spacing w:after="0" w:line="260" w:lineRule="exact"/>
              <w:ind w:left="70"/>
              <w:jc w:val="center"/>
              <w:rPr>
                <w:rFonts w:ascii="Arial" w:eastAsia="Times New Roman" w:hAnsi="Arial" w:cs="Arial"/>
                <w:b/>
                <w:bCs/>
                <w:sz w:val="24"/>
                <w:szCs w:val="24"/>
                <w:lang w:val="es-ES" w:eastAsia="es-ES"/>
              </w:rPr>
            </w:pPr>
          </w:p>
          <w:p w:rsidR="00C1754C" w:rsidRPr="00C1754C" w:rsidRDefault="00C1754C" w:rsidP="00C1754C">
            <w:pPr>
              <w:spacing w:after="0" w:line="260" w:lineRule="exact"/>
              <w:ind w:left="70"/>
              <w:jc w:val="center"/>
              <w:rPr>
                <w:rFonts w:ascii="Arial" w:eastAsia="Times New Roman" w:hAnsi="Arial" w:cs="Arial"/>
                <w:b/>
                <w:bCs/>
                <w:sz w:val="24"/>
                <w:szCs w:val="24"/>
                <w:lang w:val="es-ES" w:eastAsia="es-ES"/>
              </w:rPr>
            </w:pPr>
          </w:p>
          <w:p w:rsidR="00C1754C" w:rsidRPr="00C1754C" w:rsidRDefault="00C1754C" w:rsidP="00C1754C">
            <w:pPr>
              <w:spacing w:after="0" w:line="260" w:lineRule="exact"/>
              <w:ind w:left="70"/>
              <w:jc w:val="center"/>
              <w:rPr>
                <w:rFonts w:ascii="Arial" w:eastAsia="Times New Roman" w:hAnsi="Arial" w:cs="Arial"/>
                <w:b/>
                <w:bCs/>
                <w:sz w:val="24"/>
                <w:szCs w:val="24"/>
                <w:lang w:val="es-ES" w:eastAsia="es-ES"/>
              </w:rPr>
            </w:pPr>
          </w:p>
          <w:p w:rsidR="00C1754C" w:rsidRPr="00C1754C" w:rsidRDefault="00C1754C" w:rsidP="00C1754C">
            <w:pPr>
              <w:spacing w:after="0" w:line="260" w:lineRule="exact"/>
              <w:ind w:left="70"/>
              <w:jc w:val="center"/>
              <w:rPr>
                <w:rFonts w:ascii="Arial" w:eastAsia="Times New Roman" w:hAnsi="Arial" w:cs="Arial"/>
                <w:b/>
                <w:bCs/>
                <w:sz w:val="24"/>
                <w:szCs w:val="24"/>
                <w:lang w:val="es-ES" w:eastAsia="es-ES"/>
              </w:rPr>
            </w:pPr>
          </w:p>
          <w:p w:rsidR="00C1754C" w:rsidRPr="00C1754C" w:rsidRDefault="00C1754C" w:rsidP="00C1754C">
            <w:pPr>
              <w:spacing w:after="0" w:line="260" w:lineRule="exact"/>
              <w:ind w:left="70"/>
              <w:jc w:val="center"/>
              <w:rPr>
                <w:rFonts w:ascii="Arial" w:eastAsia="Times New Roman" w:hAnsi="Arial" w:cs="Arial"/>
                <w:b/>
                <w:bCs/>
                <w:sz w:val="24"/>
                <w:szCs w:val="24"/>
                <w:lang w:val="es-ES" w:eastAsia="es-ES"/>
              </w:rPr>
            </w:pPr>
          </w:p>
          <w:p w:rsidR="00C1754C" w:rsidRPr="00C1754C" w:rsidRDefault="00C1754C" w:rsidP="00C1754C">
            <w:pPr>
              <w:spacing w:after="0" w:line="260" w:lineRule="exact"/>
              <w:ind w:left="70"/>
              <w:jc w:val="center"/>
              <w:rPr>
                <w:rFonts w:ascii="Arial" w:eastAsia="Times New Roman" w:hAnsi="Arial" w:cs="Arial"/>
                <w:b/>
                <w:bCs/>
                <w:sz w:val="24"/>
                <w:szCs w:val="24"/>
                <w:lang w:val="es-ES" w:eastAsia="es-ES"/>
              </w:rPr>
            </w:pPr>
          </w:p>
          <w:p w:rsidR="00C1754C" w:rsidRPr="00C1754C" w:rsidRDefault="00C1754C" w:rsidP="00C1754C">
            <w:pPr>
              <w:spacing w:after="0" w:line="260" w:lineRule="exact"/>
              <w:ind w:left="70"/>
              <w:jc w:val="center"/>
              <w:rPr>
                <w:rFonts w:ascii="Arial" w:eastAsia="Times New Roman" w:hAnsi="Arial" w:cs="Arial"/>
                <w:b/>
                <w:bCs/>
                <w:sz w:val="24"/>
                <w:szCs w:val="24"/>
                <w:lang w:val="es-ES" w:eastAsia="es-ES"/>
              </w:rPr>
            </w:pPr>
            <w:r w:rsidRPr="00C1754C">
              <w:rPr>
                <w:rFonts w:ascii="Arial" w:eastAsia="Times New Roman" w:hAnsi="Arial" w:cs="Arial"/>
                <w:b/>
                <w:bCs/>
                <w:sz w:val="24"/>
                <w:szCs w:val="24"/>
                <w:lang w:val="es-ES" w:eastAsia="es-ES"/>
              </w:rPr>
              <w:t>LIC. EDMUNDO JACOBO</w:t>
            </w:r>
          </w:p>
          <w:p w:rsidR="00C1754C" w:rsidRPr="00C1754C" w:rsidRDefault="00C1754C" w:rsidP="00C1754C">
            <w:pPr>
              <w:spacing w:after="0" w:line="280" w:lineRule="exact"/>
              <w:ind w:left="709" w:hanging="709"/>
              <w:jc w:val="center"/>
              <w:rPr>
                <w:rFonts w:ascii="Arial" w:eastAsia="Times New Roman" w:hAnsi="Arial" w:cs="Arial"/>
                <w:b/>
                <w:bCs/>
                <w:sz w:val="24"/>
                <w:szCs w:val="24"/>
                <w:lang w:val="es-ES" w:eastAsia="es-ES"/>
              </w:rPr>
            </w:pPr>
            <w:r w:rsidRPr="00C1754C">
              <w:rPr>
                <w:rFonts w:ascii="Arial" w:eastAsia="Times New Roman" w:hAnsi="Arial" w:cs="Arial"/>
                <w:b/>
                <w:bCs/>
                <w:sz w:val="24"/>
                <w:szCs w:val="24"/>
                <w:lang w:val="es-ES" w:eastAsia="es-ES"/>
              </w:rPr>
              <w:t>MOLINA</w:t>
            </w:r>
          </w:p>
        </w:tc>
      </w:tr>
    </w:tbl>
    <w:p w:rsidR="00C1754C" w:rsidRPr="00C1754C" w:rsidRDefault="00C1754C" w:rsidP="00C1754C">
      <w:pPr>
        <w:autoSpaceDE w:val="0"/>
        <w:autoSpaceDN w:val="0"/>
        <w:adjustRightInd w:val="0"/>
        <w:spacing w:after="0" w:line="304" w:lineRule="exact"/>
        <w:jc w:val="both"/>
        <w:rPr>
          <w:rFonts w:ascii="Arial" w:eastAsia="Calibri" w:hAnsi="Arial" w:cs="Arial"/>
          <w:sz w:val="24"/>
          <w:szCs w:val="24"/>
          <w:lang w:val="es-ES" w:eastAsia="es-ES"/>
        </w:rPr>
      </w:pPr>
    </w:p>
    <w:sectPr w:rsidR="00C1754C" w:rsidRPr="00C1754C" w:rsidSect="00FF3E52">
      <w:footerReference w:type="even" r:id="rId8"/>
      <w:footerReference w:type="default" r:id="rId9"/>
      <w:pgSz w:w="12240" w:h="15840"/>
      <w:pgMar w:top="3288" w:right="1701" w:bottom="1417" w:left="1701" w:header="1417"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4C83" w:rsidRDefault="00D24C83" w:rsidP="00111DFC">
      <w:pPr>
        <w:spacing w:after="0" w:line="240" w:lineRule="auto"/>
      </w:pPr>
      <w:r>
        <w:separator/>
      </w:r>
    </w:p>
  </w:endnote>
  <w:endnote w:type="continuationSeparator" w:id="0">
    <w:p w:rsidR="00D24C83" w:rsidRDefault="00D24C83" w:rsidP="00111D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3E52" w:rsidRDefault="00FF3E52" w:rsidP="009B3F4F">
    <w:pPr>
      <w:pStyle w:val="Piedepgina"/>
      <w:framePr w:wrap="around"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p w:rsidR="00FF3E52" w:rsidRDefault="00FF3E5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394432401"/>
      <w:docPartObj>
        <w:docPartGallery w:val="Page Numbers (Bottom of Page)"/>
        <w:docPartUnique/>
      </w:docPartObj>
    </w:sdtPr>
    <w:sdtEndPr/>
    <w:sdtContent>
      <w:p w:rsidR="00FF3E52" w:rsidRPr="00FF3E52" w:rsidRDefault="00FF3E52" w:rsidP="00FF3E52">
        <w:pPr>
          <w:pStyle w:val="Piedepgina"/>
          <w:jc w:val="center"/>
          <w:rPr>
            <w:rFonts w:ascii="Arial" w:hAnsi="Arial" w:cs="Arial"/>
          </w:rPr>
        </w:pPr>
        <w:r w:rsidRPr="00FF3E52">
          <w:rPr>
            <w:rFonts w:ascii="Arial" w:hAnsi="Arial" w:cs="Arial"/>
          </w:rPr>
          <w:fldChar w:fldCharType="begin"/>
        </w:r>
        <w:r w:rsidRPr="00FF3E52">
          <w:rPr>
            <w:rFonts w:ascii="Arial" w:hAnsi="Arial" w:cs="Arial"/>
          </w:rPr>
          <w:instrText>PAGE   \* MERGEFORMAT</w:instrText>
        </w:r>
        <w:r w:rsidRPr="00FF3E52">
          <w:rPr>
            <w:rFonts w:ascii="Arial" w:hAnsi="Arial" w:cs="Arial"/>
          </w:rPr>
          <w:fldChar w:fldCharType="separate"/>
        </w:r>
        <w:r w:rsidR="008E2573" w:rsidRPr="008E2573">
          <w:rPr>
            <w:rFonts w:ascii="Arial" w:hAnsi="Arial" w:cs="Arial"/>
            <w:noProof/>
            <w:lang w:val="es-ES"/>
          </w:rPr>
          <w:t>5</w:t>
        </w:r>
        <w:r w:rsidRPr="00FF3E52">
          <w:rPr>
            <w:rFonts w:ascii="Arial" w:hAnsi="Arial" w:cs="Arial"/>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4C83" w:rsidRDefault="00D24C83" w:rsidP="00111DFC">
      <w:pPr>
        <w:spacing w:after="0" w:line="240" w:lineRule="auto"/>
      </w:pPr>
      <w:r>
        <w:separator/>
      </w:r>
    </w:p>
  </w:footnote>
  <w:footnote w:type="continuationSeparator" w:id="0">
    <w:p w:rsidR="00D24C83" w:rsidRDefault="00D24C83" w:rsidP="00111DFC">
      <w:pPr>
        <w:spacing w:after="0" w:line="240" w:lineRule="auto"/>
      </w:pPr>
      <w:r>
        <w:continuationSeparator/>
      </w:r>
    </w:p>
  </w:footnote>
  <w:footnote w:id="1">
    <w:p w:rsidR="00E55C08" w:rsidRDefault="00E55C08" w:rsidP="00197031">
      <w:pPr>
        <w:pStyle w:val="Textonotapie"/>
        <w:jc w:val="both"/>
      </w:pPr>
      <w:r>
        <w:rPr>
          <w:rStyle w:val="Refdenotaalpie"/>
        </w:rPr>
        <w:footnoteRef/>
      </w:r>
      <w:r>
        <w:t xml:space="preserve"> </w:t>
      </w:r>
      <w:r w:rsidR="00197031" w:rsidRPr="00197031">
        <w:rPr>
          <w:rFonts w:ascii="Arial" w:hAnsi="Arial" w:cs="Arial"/>
          <w:sz w:val="18"/>
          <w:szCs w:val="18"/>
        </w:rPr>
        <w:t>Tesis número P. VI/2005, correspondiente a la Novena Época del Semanario Judicial de la Federación y su Gaceta, Tomo XXI, marzo de 2005, página 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64B1C54"/>
    <w:multiLevelType w:val="hybridMultilevel"/>
    <w:tmpl w:val="E612F1BC"/>
    <w:lvl w:ilvl="0" w:tplc="25126EC4">
      <w:start w:val="1"/>
      <w:numFmt w:val="upperRoman"/>
      <w:lvlText w:val="%1."/>
      <w:lvlJc w:val="left"/>
      <w:pPr>
        <w:tabs>
          <w:tab w:val="num" w:pos="357"/>
        </w:tabs>
        <w:ind w:left="357" w:hanging="357"/>
      </w:pPr>
      <w:rPr>
        <w:rFonts w:hint="default"/>
        <w:b/>
        <w:i w:val="0"/>
        <w:strike w:val="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15:restartNumberingAfterBreak="0">
    <w:nsid w:val="6EC01BD5"/>
    <w:multiLevelType w:val="hybridMultilevel"/>
    <w:tmpl w:val="5F525C2C"/>
    <w:lvl w:ilvl="0" w:tplc="75467644">
      <w:start w:val="1"/>
      <w:numFmt w:val="decimal"/>
      <w:lvlText w:val="%1."/>
      <w:lvlJc w:val="left"/>
      <w:pPr>
        <w:tabs>
          <w:tab w:val="num" w:pos="360"/>
        </w:tabs>
        <w:ind w:left="360" w:hanging="360"/>
      </w:pPr>
      <w:rPr>
        <w:b/>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053"/>
    <w:rsid w:val="0002237F"/>
    <w:rsid w:val="00035651"/>
    <w:rsid w:val="00037E4D"/>
    <w:rsid w:val="00041166"/>
    <w:rsid w:val="0004257B"/>
    <w:rsid w:val="00046BF1"/>
    <w:rsid w:val="000B3731"/>
    <w:rsid w:val="000D4DE6"/>
    <w:rsid w:val="000E7106"/>
    <w:rsid w:val="00103B12"/>
    <w:rsid w:val="00106DFB"/>
    <w:rsid w:val="00111523"/>
    <w:rsid w:val="00111DFC"/>
    <w:rsid w:val="00135A72"/>
    <w:rsid w:val="00136E1E"/>
    <w:rsid w:val="001371B7"/>
    <w:rsid w:val="001609FE"/>
    <w:rsid w:val="00163BA3"/>
    <w:rsid w:val="0018565C"/>
    <w:rsid w:val="001912D8"/>
    <w:rsid w:val="0019494E"/>
    <w:rsid w:val="00197031"/>
    <w:rsid w:val="001A36CB"/>
    <w:rsid w:val="001C0F96"/>
    <w:rsid w:val="001C5CA3"/>
    <w:rsid w:val="001D4321"/>
    <w:rsid w:val="001D4949"/>
    <w:rsid w:val="001E0298"/>
    <w:rsid w:val="001E780E"/>
    <w:rsid w:val="001E7D16"/>
    <w:rsid w:val="002154DA"/>
    <w:rsid w:val="00240F33"/>
    <w:rsid w:val="00242126"/>
    <w:rsid w:val="00263DA3"/>
    <w:rsid w:val="00264F4B"/>
    <w:rsid w:val="00287A37"/>
    <w:rsid w:val="002947E2"/>
    <w:rsid w:val="002F65D2"/>
    <w:rsid w:val="0030159D"/>
    <w:rsid w:val="00304CA3"/>
    <w:rsid w:val="003217AF"/>
    <w:rsid w:val="0032490F"/>
    <w:rsid w:val="0035163F"/>
    <w:rsid w:val="00361118"/>
    <w:rsid w:val="003718B1"/>
    <w:rsid w:val="00375F56"/>
    <w:rsid w:val="003B778A"/>
    <w:rsid w:val="003B7B73"/>
    <w:rsid w:val="003D3864"/>
    <w:rsid w:val="003F2492"/>
    <w:rsid w:val="00402F86"/>
    <w:rsid w:val="004045EF"/>
    <w:rsid w:val="004266B7"/>
    <w:rsid w:val="004309AA"/>
    <w:rsid w:val="004320A1"/>
    <w:rsid w:val="004404F6"/>
    <w:rsid w:val="00441A7C"/>
    <w:rsid w:val="0045015A"/>
    <w:rsid w:val="00455AB3"/>
    <w:rsid w:val="00461080"/>
    <w:rsid w:val="00475D56"/>
    <w:rsid w:val="00476429"/>
    <w:rsid w:val="00487F2C"/>
    <w:rsid w:val="004A4DC9"/>
    <w:rsid w:val="004E3F2E"/>
    <w:rsid w:val="004E53EE"/>
    <w:rsid w:val="00510BB5"/>
    <w:rsid w:val="00524641"/>
    <w:rsid w:val="0052553F"/>
    <w:rsid w:val="00526FB3"/>
    <w:rsid w:val="00531DC0"/>
    <w:rsid w:val="00553915"/>
    <w:rsid w:val="00557AE1"/>
    <w:rsid w:val="00572732"/>
    <w:rsid w:val="00580FCB"/>
    <w:rsid w:val="005A5D2C"/>
    <w:rsid w:val="005D5691"/>
    <w:rsid w:val="005E3BFB"/>
    <w:rsid w:val="005F1F1A"/>
    <w:rsid w:val="006011EA"/>
    <w:rsid w:val="00602139"/>
    <w:rsid w:val="00632B2B"/>
    <w:rsid w:val="006340C2"/>
    <w:rsid w:val="0063595F"/>
    <w:rsid w:val="00651E46"/>
    <w:rsid w:val="0065496D"/>
    <w:rsid w:val="00664853"/>
    <w:rsid w:val="00664E79"/>
    <w:rsid w:val="00693A1D"/>
    <w:rsid w:val="00697AD4"/>
    <w:rsid w:val="006B4501"/>
    <w:rsid w:val="006E132D"/>
    <w:rsid w:val="006F768A"/>
    <w:rsid w:val="00717B35"/>
    <w:rsid w:val="00751A77"/>
    <w:rsid w:val="00762631"/>
    <w:rsid w:val="007631E9"/>
    <w:rsid w:val="00764C21"/>
    <w:rsid w:val="007709DC"/>
    <w:rsid w:val="00775526"/>
    <w:rsid w:val="007B261A"/>
    <w:rsid w:val="007D0B2D"/>
    <w:rsid w:val="0081699C"/>
    <w:rsid w:val="00823323"/>
    <w:rsid w:val="00823565"/>
    <w:rsid w:val="00824673"/>
    <w:rsid w:val="00824920"/>
    <w:rsid w:val="00824D19"/>
    <w:rsid w:val="00840B90"/>
    <w:rsid w:val="00851A4A"/>
    <w:rsid w:val="00853934"/>
    <w:rsid w:val="008666F1"/>
    <w:rsid w:val="00876421"/>
    <w:rsid w:val="008B672B"/>
    <w:rsid w:val="008C2BCD"/>
    <w:rsid w:val="008E17A3"/>
    <w:rsid w:val="008E2573"/>
    <w:rsid w:val="008F6057"/>
    <w:rsid w:val="00900399"/>
    <w:rsid w:val="009015F4"/>
    <w:rsid w:val="0093137D"/>
    <w:rsid w:val="0093584F"/>
    <w:rsid w:val="0094511E"/>
    <w:rsid w:val="009465F3"/>
    <w:rsid w:val="00952ABB"/>
    <w:rsid w:val="00956675"/>
    <w:rsid w:val="0096144C"/>
    <w:rsid w:val="00961615"/>
    <w:rsid w:val="00965393"/>
    <w:rsid w:val="00975EE4"/>
    <w:rsid w:val="00980AD0"/>
    <w:rsid w:val="00982CD0"/>
    <w:rsid w:val="0098505A"/>
    <w:rsid w:val="009B1269"/>
    <w:rsid w:val="009B20AD"/>
    <w:rsid w:val="009C3227"/>
    <w:rsid w:val="00A02FAA"/>
    <w:rsid w:val="00A149F5"/>
    <w:rsid w:val="00A16185"/>
    <w:rsid w:val="00A21736"/>
    <w:rsid w:val="00A315CD"/>
    <w:rsid w:val="00A34532"/>
    <w:rsid w:val="00A65C97"/>
    <w:rsid w:val="00A72DC3"/>
    <w:rsid w:val="00A900E6"/>
    <w:rsid w:val="00AE3896"/>
    <w:rsid w:val="00B16C45"/>
    <w:rsid w:val="00B70AE1"/>
    <w:rsid w:val="00B736A8"/>
    <w:rsid w:val="00B74D5A"/>
    <w:rsid w:val="00B81B7F"/>
    <w:rsid w:val="00B90D94"/>
    <w:rsid w:val="00BA0036"/>
    <w:rsid w:val="00BA5E2F"/>
    <w:rsid w:val="00BC0A10"/>
    <w:rsid w:val="00BF0A65"/>
    <w:rsid w:val="00BF4CF3"/>
    <w:rsid w:val="00C141EE"/>
    <w:rsid w:val="00C1754C"/>
    <w:rsid w:val="00C4077B"/>
    <w:rsid w:val="00C4124D"/>
    <w:rsid w:val="00C475CB"/>
    <w:rsid w:val="00C70FB4"/>
    <w:rsid w:val="00CA35E0"/>
    <w:rsid w:val="00CB09A5"/>
    <w:rsid w:val="00CC4DA2"/>
    <w:rsid w:val="00CD6C26"/>
    <w:rsid w:val="00CE1527"/>
    <w:rsid w:val="00CE4948"/>
    <w:rsid w:val="00CE6E78"/>
    <w:rsid w:val="00CE7375"/>
    <w:rsid w:val="00CF24DF"/>
    <w:rsid w:val="00CF6855"/>
    <w:rsid w:val="00D114D1"/>
    <w:rsid w:val="00D24C83"/>
    <w:rsid w:val="00D34D28"/>
    <w:rsid w:val="00D34F12"/>
    <w:rsid w:val="00D36A2A"/>
    <w:rsid w:val="00D40647"/>
    <w:rsid w:val="00D44FDC"/>
    <w:rsid w:val="00D4686B"/>
    <w:rsid w:val="00D46ACA"/>
    <w:rsid w:val="00D53099"/>
    <w:rsid w:val="00D53DFE"/>
    <w:rsid w:val="00DB7A2F"/>
    <w:rsid w:val="00DB7D8E"/>
    <w:rsid w:val="00DC74DC"/>
    <w:rsid w:val="00DF7B88"/>
    <w:rsid w:val="00E06DA2"/>
    <w:rsid w:val="00E1190A"/>
    <w:rsid w:val="00E16D10"/>
    <w:rsid w:val="00E26164"/>
    <w:rsid w:val="00E26526"/>
    <w:rsid w:val="00E27FB4"/>
    <w:rsid w:val="00E373AA"/>
    <w:rsid w:val="00E40C7A"/>
    <w:rsid w:val="00E55C08"/>
    <w:rsid w:val="00E602E2"/>
    <w:rsid w:val="00E67504"/>
    <w:rsid w:val="00E91B2E"/>
    <w:rsid w:val="00E920F2"/>
    <w:rsid w:val="00E94EF0"/>
    <w:rsid w:val="00EA08A9"/>
    <w:rsid w:val="00ED5053"/>
    <w:rsid w:val="00EE4492"/>
    <w:rsid w:val="00F00743"/>
    <w:rsid w:val="00F01CDB"/>
    <w:rsid w:val="00F06FD6"/>
    <w:rsid w:val="00F32522"/>
    <w:rsid w:val="00F72D7E"/>
    <w:rsid w:val="00F75895"/>
    <w:rsid w:val="00F8044C"/>
    <w:rsid w:val="00F86AEE"/>
    <w:rsid w:val="00F97E1A"/>
    <w:rsid w:val="00FD27C8"/>
    <w:rsid w:val="00FF3E52"/>
    <w:rsid w:val="00FF46E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6277ED-03C7-47C7-9068-EA8B60D71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5053"/>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632B2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32B2B"/>
    <w:rPr>
      <w:rFonts w:ascii="Segoe UI" w:hAnsi="Segoe UI" w:cs="Segoe UI"/>
      <w:sz w:val="18"/>
      <w:szCs w:val="18"/>
    </w:rPr>
  </w:style>
  <w:style w:type="paragraph" w:styleId="Prrafodelista">
    <w:name w:val="List Paragraph"/>
    <w:basedOn w:val="Normal"/>
    <w:uiPriority w:val="34"/>
    <w:qFormat/>
    <w:rsid w:val="002F65D2"/>
    <w:pPr>
      <w:ind w:left="720"/>
      <w:contextualSpacing/>
    </w:pPr>
  </w:style>
  <w:style w:type="paragraph" w:styleId="Encabezado">
    <w:name w:val="header"/>
    <w:basedOn w:val="Normal"/>
    <w:link w:val="EncabezadoCar"/>
    <w:uiPriority w:val="99"/>
    <w:unhideWhenUsed/>
    <w:rsid w:val="00111DF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11DFC"/>
  </w:style>
  <w:style w:type="paragraph" w:styleId="Piedepgina">
    <w:name w:val="footer"/>
    <w:basedOn w:val="Normal"/>
    <w:link w:val="PiedepginaCar"/>
    <w:uiPriority w:val="99"/>
    <w:unhideWhenUsed/>
    <w:rsid w:val="00111DF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11DFC"/>
  </w:style>
  <w:style w:type="paragraph" w:styleId="Textonotapie">
    <w:name w:val="footnote text"/>
    <w:basedOn w:val="Normal"/>
    <w:link w:val="TextonotapieCar"/>
    <w:uiPriority w:val="99"/>
    <w:semiHidden/>
    <w:unhideWhenUsed/>
    <w:rsid w:val="00E55C0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55C08"/>
    <w:rPr>
      <w:sz w:val="20"/>
      <w:szCs w:val="20"/>
    </w:rPr>
  </w:style>
  <w:style w:type="character" w:styleId="Refdenotaalpie">
    <w:name w:val="footnote reference"/>
    <w:basedOn w:val="Fuentedeprrafopredeter"/>
    <w:uiPriority w:val="99"/>
    <w:semiHidden/>
    <w:unhideWhenUsed/>
    <w:rsid w:val="00E55C08"/>
    <w:rPr>
      <w:vertAlign w:val="superscript"/>
    </w:rPr>
  </w:style>
  <w:style w:type="character" w:styleId="Nmerodepgina">
    <w:name w:val="page number"/>
    <w:basedOn w:val="Fuentedeprrafopredeter"/>
    <w:uiPriority w:val="99"/>
    <w:semiHidden/>
    <w:unhideWhenUsed/>
    <w:rsid w:val="00FF3E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5344738">
      <w:bodyDiv w:val="1"/>
      <w:marLeft w:val="0"/>
      <w:marRight w:val="0"/>
      <w:marTop w:val="0"/>
      <w:marBottom w:val="0"/>
      <w:divBdr>
        <w:top w:val="none" w:sz="0" w:space="0" w:color="auto"/>
        <w:left w:val="none" w:sz="0" w:space="0" w:color="auto"/>
        <w:bottom w:val="none" w:sz="0" w:space="0" w:color="auto"/>
        <w:right w:val="none" w:sz="0" w:space="0" w:color="auto"/>
      </w:divBdr>
    </w:div>
    <w:div w:id="1698432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845BA8-7753-4B2C-BF9D-4724E0516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1439</Words>
  <Characters>7917</Characters>
  <Application>Microsoft Office Word</Application>
  <DocSecurity>0</DocSecurity>
  <Lines>65</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ZAVALA GUEVARA LUIS ALBERTO</dc:creator>
  <cp:keywords/>
  <dc:description/>
  <cp:lastModifiedBy>SANTOS BASURTO SERGIO</cp:lastModifiedBy>
  <cp:revision>2</cp:revision>
  <cp:lastPrinted>2019-08-26T22:52:00Z</cp:lastPrinted>
  <dcterms:created xsi:type="dcterms:W3CDTF">2019-08-27T23:18:00Z</dcterms:created>
  <dcterms:modified xsi:type="dcterms:W3CDTF">2019-08-27T23:18:00Z</dcterms:modified>
</cp:coreProperties>
</file>